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755A" w14:textId="18FCE99E" w:rsidR="00F77DEF" w:rsidRPr="00F77DEF" w:rsidRDefault="00F77DEF" w:rsidP="00F77DEF">
      <w:pPr>
        <w:widowControl/>
        <w:shd w:val="clear" w:color="auto" w:fill="FFFFFF"/>
        <w:snapToGrid w:val="0"/>
        <w:spacing w:line="560" w:lineRule="exact"/>
        <w:jc w:val="left"/>
        <w:rPr>
          <w:rFonts w:ascii="仿宋" w:eastAsia="仿宋" w:hAnsi="仿宋" w:cs="宋体"/>
          <w:kern w:val="0"/>
          <w:sz w:val="28"/>
          <w:szCs w:val="28"/>
        </w:rPr>
      </w:pPr>
      <w:r w:rsidRPr="00F77DEF">
        <w:rPr>
          <w:rFonts w:ascii="仿宋" w:eastAsia="仿宋" w:hAnsi="仿宋" w:cs="宋体" w:hint="eastAsia"/>
          <w:kern w:val="0"/>
          <w:sz w:val="28"/>
          <w:szCs w:val="28"/>
        </w:rPr>
        <w:t>附件1</w:t>
      </w:r>
    </w:p>
    <w:p w14:paraId="399B1982" w14:textId="77777777" w:rsidR="00F77DEF" w:rsidRPr="00F77DEF" w:rsidRDefault="00F77DEF" w:rsidP="00F77DEF">
      <w:pPr>
        <w:widowControl/>
        <w:shd w:val="clear" w:color="auto" w:fill="FFFFFF"/>
        <w:snapToGrid w:val="0"/>
        <w:spacing w:line="560" w:lineRule="exact"/>
        <w:jc w:val="left"/>
        <w:rPr>
          <w:rFonts w:ascii="仿宋" w:eastAsia="仿宋" w:hAnsi="仿宋" w:cs="宋体" w:hint="eastAsia"/>
          <w:b/>
          <w:bCs/>
          <w:kern w:val="0"/>
          <w:sz w:val="28"/>
          <w:szCs w:val="28"/>
        </w:rPr>
      </w:pPr>
    </w:p>
    <w:p w14:paraId="307273C2" w14:textId="71060BFA" w:rsidR="00FA60D0" w:rsidRDefault="00AB72F9">
      <w:pPr>
        <w:widowControl/>
        <w:shd w:val="clear" w:color="auto" w:fill="FFFFFF"/>
        <w:snapToGrid w:val="0"/>
        <w:spacing w:line="560" w:lineRule="exact"/>
        <w:jc w:val="center"/>
        <w:rPr>
          <w:rFonts w:ascii="黑体" w:eastAsia="黑体" w:hAnsi="黑体" w:cs="宋体"/>
          <w:b/>
          <w:bCs/>
          <w:kern w:val="0"/>
          <w:sz w:val="36"/>
          <w:szCs w:val="36"/>
        </w:rPr>
      </w:pPr>
      <w:r>
        <w:rPr>
          <w:rFonts w:ascii="黑体" w:eastAsia="黑体" w:hAnsi="黑体" w:cs="宋体" w:hint="eastAsia"/>
          <w:b/>
          <w:bCs/>
          <w:kern w:val="0"/>
          <w:sz w:val="36"/>
          <w:szCs w:val="36"/>
        </w:rPr>
        <w:t>佛山市交通影响评价编制与管理办法修订</w:t>
      </w:r>
    </w:p>
    <w:p w14:paraId="31CFA215" w14:textId="7131B3FA" w:rsidR="00FA60D0" w:rsidRDefault="00AB72F9">
      <w:pPr>
        <w:widowControl/>
        <w:shd w:val="clear" w:color="auto" w:fill="FFFFFF"/>
        <w:snapToGrid w:val="0"/>
        <w:spacing w:line="560" w:lineRule="exact"/>
        <w:jc w:val="center"/>
        <w:rPr>
          <w:rFonts w:ascii="Calibri" w:eastAsia="黑体" w:hAnsi="Calibri" w:cs="Calibri"/>
          <w:kern w:val="0"/>
          <w:sz w:val="32"/>
          <w:szCs w:val="32"/>
        </w:rPr>
      </w:pPr>
      <w:r>
        <w:rPr>
          <w:rFonts w:ascii="Calibri" w:eastAsia="黑体" w:hAnsi="Calibri" w:cs="Calibri" w:hint="eastAsia"/>
          <w:kern w:val="0"/>
          <w:sz w:val="32"/>
          <w:szCs w:val="32"/>
        </w:rPr>
        <w:t>（</w:t>
      </w:r>
      <w:r w:rsidR="00BF17E3">
        <w:rPr>
          <w:rFonts w:ascii="Calibri" w:eastAsia="黑体" w:hAnsi="Calibri" w:cs="Calibri" w:hint="eastAsia"/>
          <w:kern w:val="0"/>
          <w:sz w:val="32"/>
          <w:szCs w:val="32"/>
        </w:rPr>
        <w:t>征求意见稿</w:t>
      </w:r>
      <w:r>
        <w:rPr>
          <w:rFonts w:ascii="Calibri" w:eastAsia="黑体" w:hAnsi="Calibri" w:cs="Calibri" w:hint="eastAsia"/>
          <w:kern w:val="0"/>
          <w:sz w:val="32"/>
          <w:szCs w:val="32"/>
        </w:rPr>
        <w:t>）</w:t>
      </w:r>
    </w:p>
    <w:p w14:paraId="0589D9D9" w14:textId="77777777" w:rsidR="00FA60D0" w:rsidRDefault="00FA60D0">
      <w:pPr>
        <w:widowControl/>
        <w:shd w:val="clear" w:color="auto" w:fill="FFFFFF"/>
        <w:snapToGrid w:val="0"/>
        <w:spacing w:line="560" w:lineRule="exact"/>
        <w:jc w:val="center"/>
        <w:rPr>
          <w:rFonts w:ascii="黑体" w:eastAsia="黑体" w:hAnsi="黑体" w:cs="宋体"/>
          <w:kern w:val="0"/>
          <w:sz w:val="28"/>
          <w:szCs w:val="28"/>
        </w:rPr>
      </w:pPr>
    </w:p>
    <w:p w14:paraId="1477019F" w14:textId="77777777" w:rsidR="00FA60D0" w:rsidRDefault="00AB72F9">
      <w:pPr>
        <w:widowControl/>
        <w:shd w:val="clear" w:color="auto" w:fill="FFFFFF"/>
        <w:snapToGrid w:val="0"/>
        <w:spacing w:line="560" w:lineRule="exact"/>
        <w:jc w:val="center"/>
        <w:rPr>
          <w:rFonts w:ascii="黑体" w:eastAsia="黑体" w:hAnsi="黑体" w:cs="宋体"/>
          <w:b/>
          <w:bCs/>
          <w:kern w:val="0"/>
          <w:sz w:val="32"/>
          <w:szCs w:val="32"/>
        </w:rPr>
      </w:pPr>
      <w:r>
        <w:rPr>
          <w:rFonts w:ascii="黑体" w:eastAsia="黑体" w:hAnsi="黑体" w:cs="宋体" w:hint="eastAsia"/>
          <w:b/>
          <w:bCs/>
          <w:kern w:val="0"/>
          <w:sz w:val="32"/>
          <w:szCs w:val="32"/>
        </w:rPr>
        <w:t>第一章</w:t>
      </w:r>
      <w:r>
        <w:rPr>
          <w:rFonts w:ascii="黑体" w:eastAsia="黑体" w:hAnsi="黑体" w:cs="Calibri" w:hint="eastAsia"/>
          <w:b/>
          <w:bCs/>
          <w:kern w:val="0"/>
          <w:sz w:val="32"/>
          <w:szCs w:val="32"/>
        </w:rPr>
        <w:t xml:space="preserve">   </w:t>
      </w:r>
      <w:r>
        <w:rPr>
          <w:rFonts w:ascii="黑体" w:eastAsia="黑体" w:hAnsi="黑体" w:cs="宋体" w:hint="eastAsia"/>
          <w:b/>
          <w:bCs/>
          <w:kern w:val="0"/>
          <w:sz w:val="32"/>
          <w:szCs w:val="32"/>
        </w:rPr>
        <w:t>总 则</w:t>
      </w:r>
    </w:p>
    <w:p w14:paraId="3485F58C" w14:textId="5F65E9F8" w:rsidR="00FA60D0" w:rsidRDefault="00AB72F9">
      <w:pPr>
        <w:widowControl/>
        <w:shd w:val="clear" w:color="auto" w:fill="FFFFFF"/>
        <w:snapToGrid w:val="0"/>
        <w:spacing w:line="560" w:lineRule="exact"/>
        <w:ind w:firstLine="640"/>
        <w:rPr>
          <w:rFonts w:ascii="仿宋_GB2312" w:eastAsia="仿宋_GB2312" w:hAnsi="宋体" w:cs="宋体"/>
          <w:kern w:val="0"/>
          <w:sz w:val="27"/>
          <w:szCs w:val="27"/>
        </w:rPr>
      </w:pPr>
      <w:r>
        <w:rPr>
          <w:rFonts w:ascii="黑体" w:eastAsia="黑体" w:hAnsi="黑体" w:cs="宋体" w:hint="eastAsia"/>
          <w:b/>
          <w:bCs/>
          <w:kern w:val="0"/>
          <w:sz w:val="24"/>
          <w:szCs w:val="24"/>
        </w:rPr>
        <w:t>第一条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为了促进土地利用和交通系统的协调发展，规范交通影响评价编制与管理工作，从交通角度评价城乡规划及建设项目的科学性和合理性，依据《中华人民共和国城乡规划法》、《中华人民共和国道路交通安全法》、《中华人民共和国道路交通安全法实施条例》、《广东省道路交通安全条例》、《建设项目交通影响评价技术标准》等法律法规和技术规范，结合我市实际，制定本办法。</w:t>
      </w:r>
    </w:p>
    <w:p w14:paraId="1229CBF6" w14:textId="63EAC997" w:rsidR="00FA60D0" w:rsidRDefault="00AB72F9">
      <w:pPr>
        <w:widowControl/>
        <w:shd w:val="clear" w:color="auto" w:fill="FFFFFF"/>
        <w:snapToGrid w:val="0"/>
        <w:spacing w:line="560" w:lineRule="exact"/>
        <w:ind w:firstLine="640"/>
        <w:rPr>
          <w:rFonts w:ascii="仿宋_GB2312" w:eastAsia="仿宋_GB2312" w:hAnsi="宋体" w:cs="宋体"/>
          <w:kern w:val="0"/>
          <w:sz w:val="24"/>
          <w:szCs w:val="24"/>
        </w:rPr>
      </w:pPr>
      <w:r>
        <w:rPr>
          <w:rFonts w:ascii="黑体" w:eastAsia="黑体" w:hAnsi="黑体" w:cs="宋体" w:hint="eastAsia"/>
          <w:b/>
          <w:bCs/>
          <w:kern w:val="0"/>
          <w:sz w:val="24"/>
          <w:szCs w:val="24"/>
        </w:rPr>
        <w:t>第二条</w:t>
      </w:r>
      <w:bookmarkStart w:id="0" w:name="_Hlk73519094"/>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本办法适用于佛山市域范围内的交通影响评价编制与管理工作</w:t>
      </w:r>
      <w:bookmarkEnd w:id="0"/>
      <w:r>
        <w:rPr>
          <w:rFonts w:ascii="仿宋_GB2312" w:eastAsia="仿宋_GB2312" w:hAnsi="宋体" w:cs="宋体" w:hint="eastAsia"/>
          <w:kern w:val="0"/>
          <w:sz w:val="24"/>
          <w:szCs w:val="24"/>
        </w:rPr>
        <w:t>。</w:t>
      </w:r>
    </w:p>
    <w:p w14:paraId="68825682" w14:textId="4D7466B8" w:rsidR="00FA60D0" w:rsidRDefault="00AB72F9">
      <w:pPr>
        <w:widowControl/>
        <w:shd w:val="clear" w:color="auto" w:fill="FFFFFF"/>
        <w:snapToGrid w:val="0"/>
        <w:spacing w:line="560" w:lineRule="exact"/>
        <w:ind w:firstLine="640"/>
        <w:rPr>
          <w:rFonts w:ascii="仿宋_GB2312" w:eastAsia="仿宋_GB2312" w:hAnsi="宋体" w:cs="宋体"/>
          <w:kern w:val="0"/>
          <w:sz w:val="27"/>
          <w:szCs w:val="27"/>
        </w:rPr>
      </w:pPr>
      <w:r>
        <w:rPr>
          <w:rFonts w:ascii="黑体" w:eastAsia="黑体" w:hAnsi="黑体" w:cs="宋体" w:hint="eastAsia"/>
          <w:b/>
          <w:bCs/>
          <w:kern w:val="0"/>
          <w:sz w:val="24"/>
          <w:szCs w:val="24"/>
        </w:rPr>
        <w:t>第三条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本办法所称交通影响评价，是指对城乡规划和建设项目实施后可能造成的交通影响进行分析、预测和评估，提出预防或者减轻不良交通影响的交通设计、交通管理方案和措施。</w:t>
      </w:r>
    </w:p>
    <w:p w14:paraId="6B3DB7A1" w14:textId="0595846D" w:rsidR="00FA60D0" w:rsidRDefault="00AB72F9">
      <w:pPr>
        <w:widowControl/>
        <w:shd w:val="clear" w:color="auto" w:fill="FFFFFF"/>
        <w:snapToGrid w:val="0"/>
        <w:spacing w:line="560" w:lineRule="exact"/>
        <w:ind w:firstLine="640"/>
        <w:rPr>
          <w:rFonts w:ascii="仿宋_GB2312" w:eastAsia="仿宋_GB2312" w:hAnsi="宋体" w:cs="宋体"/>
          <w:kern w:val="0"/>
          <w:sz w:val="27"/>
          <w:szCs w:val="27"/>
        </w:rPr>
      </w:pPr>
      <w:r>
        <w:rPr>
          <w:rFonts w:ascii="黑体" w:eastAsia="黑体" w:hAnsi="黑体" w:cs="宋体" w:hint="eastAsia"/>
          <w:b/>
          <w:bCs/>
          <w:kern w:val="0"/>
          <w:sz w:val="24"/>
          <w:szCs w:val="24"/>
        </w:rPr>
        <w:t>第四条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交通影响评价分为城乡规划的交通影响评价和建设项目的交通影响评价。</w:t>
      </w:r>
    </w:p>
    <w:p w14:paraId="39BA85BD" w14:textId="6C850EC3" w:rsidR="00FA60D0" w:rsidRDefault="00AB72F9">
      <w:pPr>
        <w:widowControl/>
        <w:shd w:val="clear" w:color="auto" w:fill="FFFFFF"/>
        <w:snapToGrid w:val="0"/>
        <w:spacing w:line="560" w:lineRule="exact"/>
        <w:ind w:firstLine="640"/>
      </w:pPr>
      <w:r>
        <w:rPr>
          <w:rFonts w:ascii="黑体" w:eastAsia="黑体" w:hAnsi="黑体" w:cs="宋体" w:hint="eastAsia"/>
          <w:b/>
          <w:bCs/>
          <w:kern w:val="0"/>
          <w:sz w:val="24"/>
          <w:szCs w:val="24"/>
        </w:rPr>
        <w:t>第五条</w:t>
      </w:r>
      <w:bookmarkStart w:id="1" w:name="_Hlk57100698"/>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市交通运输部门、自然资源（城市更新）部门会同市公安交警、轨道交通部门及各区人民政府负责交通影响评价的管理工作</w:t>
      </w:r>
      <w:bookmarkEnd w:id="1"/>
      <w:r>
        <w:rPr>
          <w:rFonts w:ascii="仿宋_GB2312" w:eastAsia="仿宋_GB2312" w:hAnsi="宋体" w:cs="宋体" w:hint="eastAsia"/>
          <w:kern w:val="0"/>
          <w:sz w:val="24"/>
          <w:szCs w:val="24"/>
        </w:rPr>
        <w:t>。</w:t>
      </w:r>
    </w:p>
    <w:p w14:paraId="55C8059F" w14:textId="77777777" w:rsidR="00FA60D0" w:rsidRDefault="00FA60D0">
      <w:pPr>
        <w:widowControl/>
        <w:shd w:val="clear" w:color="auto" w:fill="FFFFFF"/>
        <w:snapToGrid w:val="0"/>
        <w:spacing w:line="560" w:lineRule="exact"/>
        <w:ind w:firstLine="640"/>
        <w:rPr>
          <w:rFonts w:ascii="仿宋_GB2312" w:eastAsia="仿宋_GB2312" w:hAnsi="宋体" w:cs="宋体"/>
          <w:kern w:val="0"/>
          <w:sz w:val="24"/>
          <w:szCs w:val="24"/>
        </w:rPr>
      </w:pPr>
    </w:p>
    <w:p w14:paraId="2D73C27E" w14:textId="77777777" w:rsidR="00FA60D0" w:rsidRDefault="00AB72F9">
      <w:pPr>
        <w:widowControl/>
        <w:shd w:val="clear" w:color="auto" w:fill="FFFFFF"/>
        <w:snapToGrid w:val="0"/>
        <w:spacing w:line="560" w:lineRule="exact"/>
        <w:jc w:val="center"/>
        <w:rPr>
          <w:rFonts w:ascii="黑体" w:eastAsia="黑体" w:hAnsi="黑体" w:cs="宋体"/>
          <w:b/>
          <w:bCs/>
          <w:kern w:val="0"/>
          <w:sz w:val="32"/>
          <w:szCs w:val="32"/>
        </w:rPr>
      </w:pPr>
      <w:r>
        <w:rPr>
          <w:rFonts w:ascii="黑体" w:eastAsia="黑体" w:hAnsi="黑体" w:cs="宋体" w:hint="eastAsia"/>
          <w:b/>
          <w:bCs/>
          <w:kern w:val="0"/>
          <w:sz w:val="32"/>
          <w:szCs w:val="32"/>
        </w:rPr>
        <w:t>第二章</w:t>
      </w:r>
      <w:r>
        <w:rPr>
          <w:rFonts w:ascii="Calibri" w:eastAsia="黑体" w:hAnsi="Calibri" w:cs="Calibri"/>
          <w:b/>
          <w:bCs/>
          <w:kern w:val="0"/>
          <w:sz w:val="32"/>
          <w:szCs w:val="32"/>
        </w:rPr>
        <w:t xml:space="preserve">   </w:t>
      </w:r>
      <w:bookmarkStart w:id="2" w:name="_Hlk71211447"/>
      <w:r>
        <w:rPr>
          <w:rFonts w:ascii="黑体" w:eastAsia="黑体" w:hAnsi="黑体" w:cs="宋体" w:hint="eastAsia"/>
          <w:b/>
          <w:bCs/>
          <w:kern w:val="0"/>
          <w:sz w:val="32"/>
          <w:szCs w:val="32"/>
        </w:rPr>
        <w:t>城乡规划的交通影响评价</w:t>
      </w:r>
      <w:bookmarkEnd w:id="2"/>
    </w:p>
    <w:p w14:paraId="4CF92F05" w14:textId="37AD3699" w:rsidR="00FA60D0" w:rsidRDefault="00AB72F9">
      <w:pPr>
        <w:widowControl/>
        <w:shd w:val="clear" w:color="auto" w:fill="FFFFFF"/>
        <w:snapToGrid w:val="0"/>
        <w:spacing w:line="560" w:lineRule="exact"/>
        <w:ind w:firstLine="640"/>
        <w:rPr>
          <w:rFonts w:ascii="仿宋_GB2312" w:eastAsia="仿宋_GB2312" w:hAnsi="宋体" w:cs="宋体"/>
          <w:kern w:val="0"/>
          <w:sz w:val="24"/>
          <w:szCs w:val="24"/>
        </w:rPr>
      </w:pPr>
      <w:r>
        <w:rPr>
          <w:rFonts w:ascii="黑体" w:eastAsia="黑体" w:hAnsi="黑体" w:cs="宋体" w:hint="eastAsia"/>
          <w:b/>
          <w:bCs/>
          <w:kern w:val="0"/>
          <w:sz w:val="24"/>
          <w:szCs w:val="24"/>
        </w:rPr>
        <w:t>第六条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城乡规划的交通影响评价包括控制性详细规划交通影响评价、地块开发细则交通影响评价、城市更新单元规划交通影响评价和规划条件论证报告交通影响评价。</w:t>
      </w:r>
    </w:p>
    <w:p w14:paraId="0E8DA517" w14:textId="7512831E" w:rsidR="00FA60D0" w:rsidRDefault="00AB72F9">
      <w:pPr>
        <w:widowControl/>
        <w:shd w:val="clear" w:color="auto" w:fill="FFFFFF"/>
        <w:snapToGrid w:val="0"/>
        <w:spacing w:line="560" w:lineRule="exact"/>
        <w:ind w:firstLine="640"/>
        <w:rPr>
          <w:rFonts w:ascii="仿宋_GB2312" w:eastAsia="仿宋_GB2312" w:hAnsi="宋体" w:cs="宋体"/>
          <w:kern w:val="0"/>
          <w:sz w:val="24"/>
          <w:szCs w:val="24"/>
        </w:rPr>
      </w:pPr>
      <w:bookmarkStart w:id="3" w:name="_Hlk57101054"/>
      <w:r>
        <w:rPr>
          <w:rFonts w:ascii="仿宋_GB2312" w:eastAsia="仿宋_GB2312" w:hAnsi="宋体" w:cs="宋体" w:hint="eastAsia"/>
          <w:kern w:val="0"/>
          <w:sz w:val="24"/>
          <w:szCs w:val="24"/>
        </w:rPr>
        <w:lastRenderedPageBreak/>
        <w:t>编制或修编控制性详细规划</w:t>
      </w:r>
      <w:r w:rsidR="00920B93">
        <w:rPr>
          <w:rFonts w:ascii="仿宋_GB2312" w:eastAsia="仿宋_GB2312" w:hAnsi="宋体" w:cs="宋体" w:hint="eastAsia"/>
          <w:kern w:val="0"/>
          <w:sz w:val="24"/>
          <w:szCs w:val="24"/>
        </w:rPr>
        <w:t>、城市更新单元规划</w:t>
      </w:r>
      <w:r>
        <w:rPr>
          <w:rFonts w:ascii="仿宋_GB2312" w:eastAsia="仿宋_GB2312" w:hAnsi="宋体" w:cs="宋体" w:hint="eastAsia"/>
          <w:kern w:val="0"/>
          <w:sz w:val="24"/>
          <w:szCs w:val="24"/>
        </w:rPr>
        <w:t>时，应同步编制交通影响评价报告。经法定程序批准的控制性详细规划进行局部调整或技术修正时，宜同步编制交通影响评价报告。</w:t>
      </w:r>
      <w:bookmarkEnd w:id="3"/>
    </w:p>
    <w:p w14:paraId="6B0327C3" w14:textId="47B4EF2A" w:rsidR="00FA60D0" w:rsidRDefault="00AB72F9">
      <w:pPr>
        <w:widowControl/>
        <w:shd w:val="clear" w:color="auto" w:fill="FFFFFF"/>
        <w:snapToGrid w:val="0"/>
        <w:spacing w:line="560" w:lineRule="exact"/>
        <w:ind w:firstLine="640"/>
        <w:rPr>
          <w:rFonts w:ascii="仿宋_GB2312" w:eastAsia="仿宋_GB2312" w:hAnsi="宋体" w:cs="宋体"/>
          <w:kern w:val="0"/>
          <w:sz w:val="24"/>
          <w:szCs w:val="24"/>
        </w:rPr>
      </w:pPr>
      <w:bookmarkStart w:id="4" w:name="_Hlk73527080"/>
      <w:bookmarkStart w:id="5" w:name="_Hlk57102258"/>
      <w:r>
        <w:rPr>
          <w:rFonts w:ascii="仿宋_GB2312" w:eastAsia="仿宋_GB2312" w:hAnsi="宋体" w:cs="宋体" w:hint="eastAsia"/>
          <w:kern w:val="0"/>
          <w:sz w:val="24"/>
          <w:szCs w:val="24"/>
        </w:rPr>
        <w:t>编制或修编地块开发细则、规划条件论证报告时，当地块开发容量达到启动阈值或自然资源部门认为需开展交通影响评价的，应同步编制交通影响评价报告</w:t>
      </w:r>
      <w:bookmarkEnd w:id="4"/>
      <w:r>
        <w:rPr>
          <w:rFonts w:ascii="仿宋_GB2312" w:eastAsia="仿宋_GB2312" w:hAnsi="宋体" w:cs="宋体" w:hint="eastAsia"/>
          <w:kern w:val="0"/>
          <w:sz w:val="24"/>
          <w:szCs w:val="24"/>
        </w:rPr>
        <w:t>。</w:t>
      </w:r>
      <w:bookmarkEnd w:id="5"/>
    </w:p>
    <w:p w14:paraId="73195DD2" w14:textId="77777777" w:rsidR="00FA60D0" w:rsidRDefault="00AB72F9">
      <w:pPr>
        <w:widowControl/>
        <w:snapToGrid w:val="0"/>
        <w:spacing w:line="560" w:lineRule="exact"/>
        <w:jc w:val="center"/>
        <w:rPr>
          <w:rFonts w:ascii="仿宋_GB2312" w:eastAsia="仿宋_GB2312" w:hAnsi="微软雅黑" w:cs="宋体"/>
          <w:kern w:val="0"/>
          <w:szCs w:val="21"/>
        </w:rPr>
      </w:pPr>
      <w:r>
        <w:rPr>
          <w:rFonts w:ascii="仿宋_GB2312" w:eastAsia="仿宋_GB2312" w:hAnsi="微软雅黑" w:cs="宋体" w:hint="eastAsia"/>
          <w:kern w:val="0"/>
          <w:szCs w:val="21"/>
        </w:rPr>
        <w:t>表1 交通影响评价启动阈值</w:t>
      </w:r>
    </w:p>
    <w:tbl>
      <w:tblPr>
        <w:tblW w:w="8296" w:type="dxa"/>
        <w:jc w:val="center"/>
        <w:tblLayout w:type="fixed"/>
        <w:tblLook w:val="04A0" w:firstRow="1" w:lastRow="0" w:firstColumn="1" w:lastColumn="0" w:noHBand="0" w:noVBand="1"/>
      </w:tblPr>
      <w:tblGrid>
        <w:gridCol w:w="1675"/>
        <w:gridCol w:w="1624"/>
        <w:gridCol w:w="2508"/>
        <w:gridCol w:w="2489"/>
      </w:tblGrid>
      <w:tr w:rsidR="00FA60D0" w14:paraId="264FFEF2" w14:textId="77777777">
        <w:trPr>
          <w:trHeight w:val="510"/>
          <w:jc w:val="center"/>
        </w:trPr>
        <w:tc>
          <w:tcPr>
            <w:tcW w:w="1675" w:type="dxa"/>
            <w:vMerge w:val="restart"/>
            <w:tcBorders>
              <w:top w:val="single" w:sz="4" w:space="0" w:color="000000"/>
              <w:left w:val="single" w:sz="4" w:space="0" w:color="000000"/>
              <w:bottom w:val="single" w:sz="4" w:space="0" w:color="000000"/>
              <w:right w:val="single" w:sz="4" w:space="0" w:color="auto"/>
            </w:tcBorders>
            <w:vAlign w:val="center"/>
          </w:tcPr>
          <w:p w14:paraId="2F313667" w14:textId="0F56FCF4"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建设项目</w:t>
            </w:r>
            <w:r w:rsidR="007C03CA">
              <w:rPr>
                <w:rFonts w:ascii="仿宋_GB2312" w:eastAsia="仿宋_GB2312" w:hAnsi="微软雅黑" w:cs="宋体" w:hint="eastAsia"/>
                <w:kern w:val="0"/>
                <w:szCs w:val="21"/>
              </w:rPr>
              <w:t>分类</w:t>
            </w:r>
          </w:p>
        </w:tc>
        <w:tc>
          <w:tcPr>
            <w:tcW w:w="1624" w:type="dxa"/>
            <w:vMerge w:val="restart"/>
            <w:tcBorders>
              <w:top w:val="single" w:sz="4" w:space="0" w:color="auto"/>
              <w:left w:val="single" w:sz="4" w:space="0" w:color="auto"/>
              <w:right w:val="single" w:sz="4" w:space="0" w:color="auto"/>
            </w:tcBorders>
            <w:vAlign w:val="center"/>
          </w:tcPr>
          <w:p w14:paraId="0E00E3AA"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城市建设用地分类代码</w:t>
            </w:r>
          </w:p>
        </w:tc>
        <w:tc>
          <w:tcPr>
            <w:tcW w:w="4997" w:type="dxa"/>
            <w:gridSpan w:val="2"/>
            <w:tcBorders>
              <w:top w:val="single" w:sz="4" w:space="0" w:color="000000"/>
              <w:left w:val="single" w:sz="4" w:space="0" w:color="auto"/>
              <w:bottom w:val="single" w:sz="4" w:space="0" w:color="000000"/>
              <w:right w:val="single" w:sz="4" w:space="0" w:color="000000"/>
            </w:tcBorders>
            <w:vAlign w:val="center"/>
          </w:tcPr>
          <w:p w14:paraId="532AA6DB" w14:textId="77777777" w:rsidR="00FA60D0" w:rsidRDefault="00AB72F9">
            <w:pPr>
              <w:widowControl/>
              <w:snapToGrid w:val="0"/>
              <w:jc w:val="center"/>
              <w:rPr>
                <w:rFonts w:ascii="仿宋_GB2312" w:eastAsia="仿宋_GB2312" w:hAnsi="微软雅黑" w:cs="宋体"/>
                <w:kern w:val="0"/>
                <w:szCs w:val="21"/>
              </w:rPr>
            </w:pPr>
            <w:proofErr w:type="gramStart"/>
            <w:r>
              <w:rPr>
                <w:rFonts w:ascii="仿宋_GB2312" w:eastAsia="仿宋_GB2312" w:hAnsi="微软雅黑" w:cs="宋体" w:hint="eastAsia"/>
                <w:kern w:val="0"/>
                <w:szCs w:val="21"/>
              </w:rPr>
              <w:t>建设项目计容建筑面积</w:t>
            </w:r>
            <w:proofErr w:type="gramEnd"/>
            <w:r>
              <w:rPr>
                <w:rFonts w:ascii="仿宋_GB2312" w:eastAsia="仿宋_GB2312" w:hAnsi="微软雅黑" w:cs="宋体" w:hint="eastAsia"/>
                <w:kern w:val="0"/>
                <w:szCs w:val="21"/>
              </w:rPr>
              <w:t>（</w:t>
            </w:r>
            <w:proofErr w:type="gramStart"/>
            <w:r>
              <w:rPr>
                <w:rFonts w:ascii="仿宋_GB2312" w:eastAsia="仿宋_GB2312" w:hAnsi="微软雅黑" w:cs="宋体" w:hint="eastAsia"/>
                <w:kern w:val="0"/>
                <w:szCs w:val="21"/>
              </w:rPr>
              <w:t>万平方米</w:t>
            </w:r>
            <w:proofErr w:type="gramEnd"/>
            <w:r>
              <w:rPr>
                <w:rFonts w:ascii="仿宋_GB2312" w:eastAsia="仿宋_GB2312" w:hAnsi="微软雅黑" w:cs="宋体" w:hint="eastAsia"/>
                <w:kern w:val="0"/>
                <w:szCs w:val="21"/>
              </w:rPr>
              <w:t>）</w:t>
            </w:r>
          </w:p>
        </w:tc>
      </w:tr>
      <w:tr w:rsidR="00FA60D0" w14:paraId="67701782" w14:textId="77777777">
        <w:trPr>
          <w:trHeight w:val="510"/>
          <w:jc w:val="center"/>
        </w:trPr>
        <w:tc>
          <w:tcPr>
            <w:tcW w:w="1675" w:type="dxa"/>
            <w:vMerge/>
            <w:tcBorders>
              <w:top w:val="single" w:sz="4" w:space="0" w:color="000000"/>
              <w:left w:val="single" w:sz="4" w:space="0" w:color="000000"/>
              <w:bottom w:val="single" w:sz="4" w:space="0" w:color="000000"/>
              <w:right w:val="single" w:sz="4" w:space="0" w:color="auto"/>
            </w:tcBorders>
            <w:vAlign w:val="center"/>
          </w:tcPr>
          <w:p w14:paraId="65F44628" w14:textId="77777777" w:rsidR="00FA60D0" w:rsidRDefault="00FA60D0">
            <w:pPr>
              <w:widowControl/>
              <w:snapToGrid w:val="0"/>
              <w:jc w:val="left"/>
              <w:rPr>
                <w:rFonts w:ascii="仿宋_GB2312" w:eastAsia="仿宋_GB2312" w:hAnsi="微软雅黑" w:cs="宋体"/>
                <w:kern w:val="0"/>
                <w:szCs w:val="21"/>
              </w:rPr>
            </w:pPr>
          </w:p>
        </w:tc>
        <w:tc>
          <w:tcPr>
            <w:tcW w:w="1624" w:type="dxa"/>
            <w:vMerge/>
            <w:tcBorders>
              <w:left w:val="single" w:sz="4" w:space="0" w:color="auto"/>
              <w:bottom w:val="single" w:sz="4" w:space="0" w:color="auto"/>
              <w:right w:val="single" w:sz="4" w:space="0" w:color="auto"/>
            </w:tcBorders>
            <w:vAlign w:val="center"/>
          </w:tcPr>
          <w:p w14:paraId="673447DE" w14:textId="77777777" w:rsidR="00FA60D0" w:rsidRDefault="00FA60D0">
            <w:pPr>
              <w:widowControl/>
              <w:snapToGrid w:val="0"/>
              <w:jc w:val="center"/>
              <w:rPr>
                <w:rFonts w:ascii="仿宋_GB2312" w:eastAsia="仿宋_GB2312" w:hAnsi="微软雅黑" w:cs="宋体"/>
                <w:kern w:val="0"/>
                <w:szCs w:val="21"/>
              </w:rPr>
            </w:pPr>
          </w:p>
        </w:tc>
        <w:tc>
          <w:tcPr>
            <w:tcW w:w="2508" w:type="dxa"/>
            <w:tcBorders>
              <w:top w:val="nil"/>
              <w:left w:val="single" w:sz="4" w:space="0" w:color="auto"/>
              <w:bottom w:val="single" w:sz="4" w:space="0" w:color="000000"/>
              <w:right w:val="single" w:sz="4" w:space="0" w:color="000000"/>
            </w:tcBorders>
            <w:vAlign w:val="center"/>
          </w:tcPr>
          <w:p w14:paraId="5BB5F998"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一类区</w:t>
            </w:r>
          </w:p>
        </w:tc>
        <w:tc>
          <w:tcPr>
            <w:tcW w:w="2489" w:type="dxa"/>
            <w:tcBorders>
              <w:top w:val="single" w:sz="4" w:space="0" w:color="000000"/>
              <w:left w:val="nil"/>
              <w:bottom w:val="single" w:sz="4" w:space="0" w:color="000000"/>
              <w:right w:val="single" w:sz="4" w:space="0" w:color="000000"/>
            </w:tcBorders>
            <w:vAlign w:val="center"/>
          </w:tcPr>
          <w:p w14:paraId="6F353646"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其它地区</w:t>
            </w:r>
          </w:p>
        </w:tc>
      </w:tr>
      <w:tr w:rsidR="00FA60D0" w14:paraId="50942220" w14:textId="77777777">
        <w:trPr>
          <w:trHeight w:val="510"/>
          <w:jc w:val="center"/>
        </w:trPr>
        <w:tc>
          <w:tcPr>
            <w:tcW w:w="1675" w:type="dxa"/>
            <w:tcBorders>
              <w:top w:val="nil"/>
              <w:left w:val="single" w:sz="4" w:space="0" w:color="000000"/>
              <w:bottom w:val="single" w:sz="4" w:space="0" w:color="000000"/>
              <w:right w:val="single" w:sz="4" w:space="0" w:color="auto"/>
            </w:tcBorders>
            <w:vAlign w:val="center"/>
          </w:tcPr>
          <w:p w14:paraId="5242CEA3"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住宅类（T01）</w:t>
            </w:r>
          </w:p>
        </w:tc>
        <w:tc>
          <w:tcPr>
            <w:tcW w:w="1624" w:type="dxa"/>
            <w:tcBorders>
              <w:top w:val="single" w:sz="4" w:space="0" w:color="auto"/>
              <w:left w:val="single" w:sz="4" w:space="0" w:color="auto"/>
              <w:bottom w:val="single" w:sz="4" w:space="0" w:color="auto"/>
              <w:right w:val="single" w:sz="4" w:space="0" w:color="auto"/>
            </w:tcBorders>
            <w:vAlign w:val="center"/>
          </w:tcPr>
          <w:p w14:paraId="67FE1915"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Times New Roman" w:cs="Times New Roman" w:hint="eastAsia"/>
                <w:kern w:val="0"/>
                <w:szCs w:val="21"/>
              </w:rPr>
              <w:t>R1、R2、R3</w:t>
            </w:r>
          </w:p>
        </w:tc>
        <w:tc>
          <w:tcPr>
            <w:tcW w:w="2508" w:type="dxa"/>
            <w:tcBorders>
              <w:top w:val="nil"/>
              <w:left w:val="single" w:sz="4" w:space="0" w:color="auto"/>
              <w:bottom w:val="single" w:sz="4" w:space="0" w:color="000000"/>
              <w:right w:val="single" w:sz="4" w:space="0" w:color="000000"/>
            </w:tcBorders>
            <w:vAlign w:val="center"/>
          </w:tcPr>
          <w:p w14:paraId="1A151A9D"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≥5</w:t>
            </w:r>
          </w:p>
        </w:tc>
        <w:tc>
          <w:tcPr>
            <w:tcW w:w="2489" w:type="dxa"/>
            <w:tcBorders>
              <w:top w:val="nil"/>
              <w:left w:val="nil"/>
              <w:bottom w:val="single" w:sz="4" w:space="0" w:color="000000"/>
              <w:right w:val="single" w:sz="4" w:space="0" w:color="000000"/>
            </w:tcBorders>
            <w:vAlign w:val="center"/>
          </w:tcPr>
          <w:p w14:paraId="36AAC6A9"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≥8</w:t>
            </w:r>
          </w:p>
        </w:tc>
      </w:tr>
      <w:tr w:rsidR="00FA60D0" w14:paraId="120B7F51" w14:textId="77777777">
        <w:trPr>
          <w:trHeight w:val="510"/>
          <w:jc w:val="center"/>
        </w:trPr>
        <w:tc>
          <w:tcPr>
            <w:tcW w:w="1675" w:type="dxa"/>
            <w:tcBorders>
              <w:top w:val="nil"/>
              <w:left w:val="single" w:sz="4" w:space="0" w:color="000000"/>
              <w:bottom w:val="single" w:sz="4" w:space="0" w:color="000000"/>
              <w:right w:val="single" w:sz="4" w:space="0" w:color="auto"/>
            </w:tcBorders>
            <w:vAlign w:val="center"/>
          </w:tcPr>
          <w:p w14:paraId="5DEE1292"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商业类（T02）</w:t>
            </w:r>
          </w:p>
          <w:p w14:paraId="114B48ED"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服务类（T03）</w:t>
            </w:r>
          </w:p>
        </w:tc>
        <w:tc>
          <w:tcPr>
            <w:tcW w:w="1624" w:type="dxa"/>
            <w:tcBorders>
              <w:top w:val="single" w:sz="4" w:space="0" w:color="auto"/>
              <w:left w:val="single" w:sz="4" w:space="0" w:color="auto"/>
              <w:bottom w:val="single" w:sz="4" w:space="0" w:color="auto"/>
              <w:right w:val="single" w:sz="4" w:space="0" w:color="auto"/>
            </w:tcBorders>
            <w:vAlign w:val="center"/>
          </w:tcPr>
          <w:p w14:paraId="1039766E"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Times New Roman" w:hint="eastAsia"/>
                <w:kern w:val="0"/>
                <w:szCs w:val="21"/>
              </w:rPr>
              <w:t>B1、B3</w:t>
            </w:r>
          </w:p>
        </w:tc>
        <w:tc>
          <w:tcPr>
            <w:tcW w:w="2508" w:type="dxa"/>
            <w:tcBorders>
              <w:top w:val="nil"/>
              <w:left w:val="single" w:sz="4" w:space="0" w:color="auto"/>
              <w:bottom w:val="single" w:sz="4" w:space="0" w:color="auto"/>
              <w:right w:val="single" w:sz="4" w:space="0" w:color="000000"/>
            </w:tcBorders>
            <w:vAlign w:val="center"/>
          </w:tcPr>
          <w:p w14:paraId="078114A2"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w:t>
            </w:r>
            <w:r>
              <w:rPr>
                <w:rFonts w:ascii="仿宋_GB2312" w:eastAsia="仿宋_GB2312" w:hAnsi="微软雅黑" w:cs="宋体"/>
                <w:kern w:val="0"/>
                <w:szCs w:val="21"/>
              </w:rPr>
              <w:t>2</w:t>
            </w:r>
          </w:p>
        </w:tc>
        <w:tc>
          <w:tcPr>
            <w:tcW w:w="2489" w:type="dxa"/>
            <w:tcBorders>
              <w:top w:val="nil"/>
              <w:left w:val="nil"/>
              <w:bottom w:val="single" w:sz="4" w:space="0" w:color="auto"/>
              <w:right w:val="single" w:sz="4" w:space="0" w:color="000000"/>
            </w:tcBorders>
            <w:vAlign w:val="center"/>
          </w:tcPr>
          <w:p w14:paraId="7E0146F1"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≥4</w:t>
            </w:r>
          </w:p>
        </w:tc>
      </w:tr>
      <w:tr w:rsidR="00FA60D0" w14:paraId="1F2D8795" w14:textId="77777777">
        <w:trPr>
          <w:trHeight w:val="510"/>
          <w:jc w:val="center"/>
        </w:trPr>
        <w:tc>
          <w:tcPr>
            <w:tcW w:w="1675" w:type="dxa"/>
            <w:tcBorders>
              <w:top w:val="nil"/>
              <w:left w:val="single" w:sz="4" w:space="0" w:color="000000"/>
              <w:bottom w:val="single" w:sz="4" w:space="0" w:color="000000"/>
              <w:right w:val="single" w:sz="4" w:space="0" w:color="auto"/>
            </w:tcBorders>
            <w:vAlign w:val="center"/>
          </w:tcPr>
          <w:p w14:paraId="5E201254"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办公类（T04）</w:t>
            </w:r>
          </w:p>
        </w:tc>
        <w:tc>
          <w:tcPr>
            <w:tcW w:w="1624" w:type="dxa"/>
            <w:tcBorders>
              <w:top w:val="single" w:sz="4" w:space="0" w:color="auto"/>
              <w:left w:val="single" w:sz="4" w:space="0" w:color="auto"/>
              <w:bottom w:val="single" w:sz="4" w:space="0" w:color="auto"/>
              <w:right w:val="single" w:sz="4" w:space="0" w:color="auto"/>
            </w:tcBorders>
            <w:vAlign w:val="center"/>
          </w:tcPr>
          <w:p w14:paraId="0F6BFA6F"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Times New Roman" w:hint="eastAsia"/>
                <w:kern w:val="0"/>
                <w:szCs w:val="21"/>
              </w:rPr>
              <w:t>A1、A35、B2</w:t>
            </w:r>
          </w:p>
        </w:tc>
        <w:tc>
          <w:tcPr>
            <w:tcW w:w="2508" w:type="dxa"/>
            <w:tcBorders>
              <w:top w:val="single" w:sz="4" w:space="0" w:color="auto"/>
              <w:left w:val="single" w:sz="4" w:space="0" w:color="auto"/>
              <w:bottom w:val="single" w:sz="4" w:space="0" w:color="000000"/>
              <w:right w:val="single" w:sz="4" w:space="0" w:color="000000"/>
            </w:tcBorders>
            <w:vAlign w:val="center"/>
          </w:tcPr>
          <w:p w14:paraId="3C73269A"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≥3</w:t>
            </w:r>
          </w:p>
        </w:tc>
        <w:tc>
          <w:tcPr>
            <w:tcW w:w="2489" w:type="dxa"/>
            <w:tcBorders>
              <w:top w:val="single" w:sz="4" w:space="0" w:color="auto"/>
              <w:left w:val="nil"/>
              <w:bottom w:val="single" w:sz="4" w:space="0" w:color="000000"/>
              <w:right w:val="single" w:sz="4" w:space="0" w:color="000000"/>
            </w:tcBorders>
            <w:vAlign w:val="center"/>
          </w:tcPr>
          <w:p w14:paraId="289CB737"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w:t>
            </w:r>
            <w:r>
              <w:rPr>
                <w:rFonts w:ascii="仿宋_GB2312" w:eastAsia="仿宋_GB2312" w:hAnsi="微软雅黑" w:cs="宋体"/>
                <w:kern w:val="0"/>
                <w:szCs w:val="21"/>
              </w:rPr>
              <w:t>6</w:t>
            </w:r>
          </w:p>
        </w:tc>
      </w:tr>
      <w:tr w:rsidR="00FA60D0" w14:paraId="6335A544" w14:textId="77777777">
        <w:trPr>
          <w:trHeight w:val="510"/>
          <w:jc w:val="center"/>
        </w:trPr>
        <w:tc>
          <w:tcPr>
            <w:tcW w:w="1675" w:type="dxa"/>
            <w:tcBorders>
              <w:top w:val="nil"/>
              <w:left w:val="single" w:sz="4" w:space="0" w:color="000000"/>
              <w:bottom w:val="single" w:sz="4" w:space="0" w:color="000000"/>
              <w:right w:val="single" w:sz="4" w:space="0" w:color="auto"/>
            </w:tcBorders>
            <w:vAlign w:val="center"/>
          </w:tcPr>
          <w:p w14:paraId="30B7275C"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场馆与园林类（T05）、医疗类（T06）</w:t>
            </w:r>
          </w:p>
        </w:tc>
        <w:tc>
          <w:tcPr>
            <w:tcW w:w="1624" w:type="dxa"/>
            <w:tcBorders>
              <w:top w:val="single" w:sz="4" w:space="0" w:color="auto"/>
              <w:left w:val="single" w:sz="4" w:space="0" w:color="auto"/>
              <w:bottom w:val="single" w:sz="4" w:space="0" w:color="auto"/>
              <w:right w:val="single" w:sz="4" w:space="0" w:color="auto"/>
            </w:tcBorders>
            <w:vAlign w:val="center"/>
          </w:tcPr>
          <w:p w14:paraId="7D6DD227"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A2、A41、A5</w:t>
            </w:r>
          </w:p>
        </w:tc>
        <w:tc>
          <w:tcPr>
            <w:tcW w:w="2508" w:type="dxa"/>
            <w:tcBorders>
              <w:top w:val="nil"/>
              <w:left w:val="single" w:sz="4" w:space="0" w:color="auto"/>
              <w:bottom w:val="single" w:sz="4" w:space="0" w:color="000000"/>
              <w:right w:val="single" w:sz="4" w:space="0" w:color="000000"/>
            </w:tcBorders>
            <w:vAlign w:val="center"/>
          </w:tcPr>
          <w:p w14:paraId="79242B49"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配建机动车停车位≥</w:t>
            </w:r>
            <w:r>
              <w:rPr>
                <w:rFonts w:ascii="仿宋_GB2312" w:eastAsia="仿宋_GB2312" w:hAnsi="微软雅黑" w:cs="宋体"/>
                <w:kern w:val="0"/>
                <w:szCs w:val="21"/>
              </w:rPr>
              <w:t>100</w:t>
            </w:r>
            <w:r>
              <w:rPr>
                <w:rFonts w:ascii="仿宋_GB2312" w:eastAsia="仿宋_GB2312" w:hAnsi="微软雅黑" w:cs="宋体" w:hint="eastAsia"/>
                <w:kern w:val="0"/>
                <w:szCs w:val="21"/>
              </w:rPr>
              <w:t>个</w:t>
            </w:r>
          </w:p>
        </w:tc>
        <w:tc>
          <w:tcPr>
            <w:tcW w:w="2489" w:type="dxa"/>
            <w:tcBorders>
              <w:top w:val="nil"/>
              <w:left w:val="nil"/>
              <w:bottom w:val="single" w:sz="4" w:space="0" w:color="000000"/>
              <w:right w:val="single" w:sz="4" w:space="0" w:color="000000"/>
            </w:tcBorders>
            <w:vAlign w:val="center"/>
          </w:tcPr>
          <w:p w14:paraId="7B9D78F1"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配建机动车停车位≥</w:t>
            </w:r>
            <w:r>
              <w:rPr>
                <w:rFonts w:ascii="仿宋_GB2312" w:eastAsia="仿宋_GB2312" w:hAnsi="微软雅黑" w:cs="宋体"/>
                <w:kern w:val="0"/>
                <w:szCs w:val="21"/>
              </w:rPr>
              <w:t>300</w:t>
            </w:r>
            <w:r>
              <w:rPr>
                <w:rFonts w:ascii="仿宋_GB2312" w:eastAsia="仿宋_GB2312" w:hAnsi="微软雅黑" w:cs="宋体" w:hint="eastAsia"/>
                <w:kern w:val="0"/>
                <w:szCs w:val="21"/>
              </w:rPr>
              <w:t>个</w:t>
            </w:r>
          </w:p>
        </w:tc>
      </w:tr>
      <w:tr w:rsidR="00FA60D0" w14:paraId="007F2C82" w14:textId="77777777">
        <w:trPr>
          <w:trHeight w:val="510"/>
          <w:jc w:val="center"/>
        </w:trPr>
        <w:tc>
          <w:tcPr>
            <w:tcW w:w="1675" w:type="dxa"/>
            <w:tcBorders>
              <w:top w:val="nil"/>
              <w:left w:val="single" w:sz="4" w:space="0" w:color="000000"/>
              <w:bottom w:val="single" w:sz="4" w:space="0" w:color="000000"/>
              <w:right w:val="single" w:sz="4" w:space="0" w:color="auto"/>
            </w:tcBorders>
            <w:vAlign w:val="center"/>
          </w:tcPr>
          <w:p w14:paraId="1C121B50"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工业（M）、仓储类（W）</w:t>
            </w:r>
          </w:p>
        </w:tc>
        <w:tc>
          <w:tcPr>
            <w:tcW w:w="1624" w:type="dxa"/>
            <w:tcBorders>
              <w:top w:val="single" w:sz="4" w:space="0" w:color="auto"/>
              <w:left w:val="single" w:sz="4" w:space="0" w:color="auto"/>
              <w:bottom w:val="single" w:sz="4" w:space="0" w:color="auto"/>
              <w:right w:val="single" w:sz="4" w:space="0" w:color="auto"/>
            </w:tcBorders>
            <w:vAlign w:val="center"/>
          </w:tcPr>
          <w:p w14:paraId="7DAE9E55"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kern w:val="0"/>
                <w:szCs w:val="21"/>
              </w:rPr>
              <w:t>M1</w:t>
            </w:r>
            <w:r>
              <w:rPr>
                <w:rFonts w:ascii="仿宋_GB2312" w:eastAsia="仿宋_GB2312" w:hAnsi="微软雅黑" w:cs="宋体" w:hint="eastAsia"/>
                <w:kern w:val="0"/>
                <w:szCs w:val="21"/>
              </w:rPr>
              <w:t>、</w:t>
            </w:r>
            <w:r>
              <w:rPr>
                <w:rFonts w:ascii="仿宋_GB2312" w:eastAsia="仿宋_GB2312" w:hAnsi="微软雅黑" w:cs="宋体"/>
                <w:kern w:val="0"/>
                <w:szCs w:val="21"/>
              </w:rPr>
              <w:t>M2</w:t>
            </w:r>
            <w:r>
              <w:rPr>
                <w:rFonts w:ascii="仿宋_GB2312" w:eastAsia="仿宋_GB2312" w:hAnsi="微软雅黑" w:cs="宋体" w:hint="eastAsia"/>
                <w:kern w:val="0"/>
                <w:szCs w:val="21"/>
              </w:rPr>
              <w:t>、</w:t>
            </w:r>
            <w:r>
              <w:rPr>
                <w:rFonts w:ascii="仿宋_GB2312" w:eastAsia="仿宋_GB2312" w:hAnsi="微软雅黑" w:cs="宋体"/>
                <w:kern w:val="0"/>
                <w:szCs w:val="21"/>
              </w:rPr>
              <w:t>M3</w:t>
            </w:r>
            <w:r>
              <w:rPr>
                <w:rFonts w:ascii="仿宋_GB2312" w:eastAsia="仿宋_GB2312" w:hAnsi="微软雅黑" w:cs="宋体" w:hint="eastAsia"/>
                <w:kern w:val="0"/>
                <w:szCs w:val="21"/>
              </w:rPr>
              <w:t>、</w:t>
            </w:r>
            <w:r>
              <w:rPr>
                <w:rFonts w:ascii="仿宋_GB2312" w:eastAsia="仿宋_GB2312" w:hAnsi="微软雅黑" w:cs="宋体"/>
                <w:kern w:val="0"/>
                <w:szCs w:val="21"/>
              </w:rPr>
              <w:t>W1</w:t>
            </w:r>
            <w:r>
              <w:rPr>
                <w:rFonts w:ascii="仿宋_GB2312" w:eastAsia="仿宋_GB2312" w:hAnsi="微软雅黑" w:cs="宋体" w:hint="eastAsia"/>
                <w:kern w:val="0"/>
                <w:szCs w:val="21"/>
              </w:rPr>
              <w:t>、</w:t>
            </w:r>
            <w:r>
              <w:rPr>
                <w:rFonts w:ascii="仿宋_GB2312" w:eastAsia="仿宋_GB2312" w:hAnsi="微软雅黑" w:cs="宋体"/>
                <w:kern w:val="0"/>
                <w:szCs w:val="21"/>
              </w:rPr>
              <w:t>W2</w:t>
            </w:r>
            <w:r>
              <w:rPr>
                <w:rFonts w:ascii="仿宋_GB2312" w:eastAsia="仿宋_GB2312" w:hAnsi="微软雅黑" w:cs="宋体" w:hint="eastAsia"/>
                <w:kern w:val="0"/>
                <w:szCs w:val="21"/>
              </w:rPr>
              <w:t>、</w:t>
            </w:r>
            <w:r>
              <w:rPr>
                <w:rFonts w:ascii="仿宋_GB2312" w:eastAsia="仿宋_GB2312" w:hAnsi="微软雅黑" w:cs="宋体"/>
                <w:kern w:val="0"/>
                <w:szCs w:val="21"/>
              </w:rPr>
              <w:t>W3</w:t>
            </w:r>
          </w:p>
        </w:tc>
        <w:tc>
          <w:tcPr>
            <w:tcW w:w="2508" w:type="dxa"/>
            <w:tcBorders>
              <w:top w:val="nil"/>
              <w:left w:val="single" w:sz="4" w:space="0" w:color="auto"/>
              <w:bottom w:val="single" w:sz="4" w:space="0" w:color="000000"/>
              <w:right w:val="single" w:sz="4" w:space="0" w:color="000000"/>
            </w:tcBorders>
            <w:vAlign w:val="center"/>
          </w:tcPr>
          <w:p w14:paraId="2EFD0DA7"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w:t>
            </w:r>
            <w:r>
              <w:rPr>
                <w:rFonts w:ascii="仿宋_GB2312" w:eastAsia="仿宋_GB2312" w:hAnsi="微软雅黑" w:cs="宋体"/>
                <w:kern w:val="0"/>
                <w:szCs w:val="21"/>
              </w:rPr>
              <w:t>8</w:t>
            </w:r>
          </w:p>
        </w:tc>
        <w:tc>
          <w:tcPr>
            <w:tcW w:w="2489" w:type="dxa"/>
            <w:tcBorders>
              <w:top w:val="nil"/>
              <w:left w:val="nil"/>
              <w:bottom w:val="single" w:sz="4" w:space="0" w:color="000000"/>
              <w:right w:val="single" w:sz="4" w:space="0" w:color="000000"/>
            </w:tcBorders>
            <w:vAlign w:val="center"/>
          </w:tcPr>
          <w:p w14:paraId="3D01935D"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w:t>
            </w:r>
            <w:r>
              <w:rPr>
                <w:rFonts w:ascii="仿宋_GB2312" w:eastAsia="仿宋_GB2312" w:hAnsi="微软雅黑" w:cs="宋体"/>
                <w:kern w:val="0"/>
                <w:szCs w:val="21"/>
              </w:rPr>
              <w:t>15</w:t>
            </w:r>
          </w:p>
        </w:tc>
      </w:tr>
      <w:tr w:rsidR="00FA60D0" w14:paraId="2DE65837" w14:textId="77777777">
        <w:trPr>
          <w:trHeight w:val="510"/>
          <w:jc w:val="center"/>
        </w:trPr>
        <w:tc>
          <w:tcPr>
            <w:tcW w:w="1675" w:type="dxa"/>
            <w:tcBorders>
              <w:top w:val="nil"/>
              <w:left w:val="single" w:sz="4" w:space="0" w:color="000000"/>
              <w:bottom w:val="single" w:sz="4" w:space="0" w:color="000000"/>
              <w:right w:val="single" w:sz="4" w:space="0" w:color="auto"/>
            </w:tcBorders>
            <w:vAlign w:val="center"/>
          </w:tcPr>
          <w:p w14:paraId="29DB22E9"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学校类（T07）</w:t>
            </w:r>
          </w:p>
        </w:tc>
        <w:tc>
          <w:tcPr>
            <w:tcW w:w="1624" w:type="dxa"/>
            <w:tcBorders>
              <w:top w:val="single" w:sz="4" w:space="0" w:color="auto"/>
              <w:left w:val="single" w:sz="4" w:space="0" w:color="auto"/>
              <w:bottom w:val="single" w:sz="4" w:space="0" w:color="auto"/>
              <w:right w:val="single" w:sz="4" w:space="0" w:color="auto"/>
            </w:tcBorders>
            <w:vAlign w:val="center"/>
          </w:tcPr>
          <w:p w14:paraId="56D71A83"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Times New Roman" w:cs="Times New Roman" w:hint="eastAsia"/>
                <w:kern w:val="0"/>
                <w:szCs w:val="21"/>
              </w:rPr>
              <w:t>A31、A32、A33、A34</w:t>
            </w:r>
          </w:p>
        </w:tc>
        <w:tc>
          <w:tcPr>
            <w:tcW w:w="4997" w:type="dxa"/>
            <w:gridSpan w:val="2"/>
            <w:tcBorders>
              <w:top w:val="nil"/>
              <w:left w:val="single" w:sz="4" w:space="0" w:color="auto"/>
              <w:bottom w:val="single" w:sz="4" w:space="0" w:color="000000"/>
              <w:right w:val="single" w:sz="4" w:space="0" w:color="000000"/>
            </w:tcBorders>
            <w:vAlign w:val="center"/>
          </w:tcPr>
          <w:p w14:paraId="1520FF14"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新建项目</w:t>
            </w:r>
          </w:p>
        </w:tc>
      </w:tr>
      <w:tr w:rsidR="00FA60D0" w14:paraId="076143BD" w14:textId="77777777">
        <w:trPr>
          <w:trHeight w:val="510"/>
          <w:jc w:val="center"/>
        </w:trPr>
        <w:tc>
          <w:tcPr>
            <w:tcW w:w="1675" w:type="dxa"/>
            <w:tcBorders>
              <w:top w:val="nil"/>
              <w:left w:val="single" w:sz="4" w:space="0" w:color="000000"/>
              <w:bottom w:val="single" w:sz="4" w:space="0" w:color="000000"/>
              <w:right w:val="single" w:sz="4" w:space="0" w:color="auto"/>
            </w:tcBorders>
            <w:vAlign w:val="center"/>
          </w:tcPr>
          <w:p w14:paraId="78D3076D"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交通类（T08）</w:t>
            </w:r>
          </w:p>
        </w:tc>
        <w:tc>
          <w:tcPr>
            <w:tcW w:w="1624" w:type="dxa"/>
            <w:tcBorders>
              <w:top w:val="single" w:sz="4" w:space="0" w:color="auto"/>
              <w:left w:val="single" w:sz="4" w:space="0" w:color="auto"/>
              <w:bottom w:val="single" w:sz="4" w:space="0" w:color="auto"/>
              <w:right w:val="single" w:sz="4" w:space="0" w:color="auto"/>
            </w:tcBorders>
            <w:vAlign w:val="center"/>
          </w:tcPr>
          <w:p w14:paraId="52D0CB72"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Times New Roman" w:hint="eastAsia"/>
                <w:kern w:val="0"/>
                <w:szCs w:val="21"/>
              </w:rPr>
              <w:t>S2、S3、S4</w:t>
            </w:r>
          </w:p>
        </w:tc>
        <w:tc>
          <w:tcPr>
            <w:tcW w:w="4997" w:type="dxa"/>
            <w:gridSpan w:val="2"/>
            <w:tcBorders>
              <w:top w:val="nil"/>
              <w:left w:val="single" w:sz="4" w:space="0" w:color="auto"/>
              <w:bottom w:val="single" w:sz="4" w:space="0" w:color="000000"/>
              <w:right w:val="single" w:sz="4" w:space="0" w:color="000000"/>
            </w:tcBorders>
            <w:vAlign w:val="center"/>
          </w:tcPr>
          <w:p w14:paraId="2F19AF27"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公路客货运站场、铁路客货运站场、民用机场、综合开发的公交场站、客货运码头、物流中心、社会停车场（库）在100个泊位以上；加油站、加气站、加氢站、充电站</w:t>
            </w:r>
          </w:p>
        </w:tc>
      </w:tr>
      <w:tr w:rsidR="00FA60D0" w14:paraId="2A13260F" w14:textId="77777777">
        <w:trPr>
          <w:trHeight w:val="510"/>
          <w:jc w:val="center"/>
        </w:trPr>
        <w:tc>
          <w:tcPr>
            <w:tcW w:w="1675" w:type="dxa"/>
            <w:tcBorders>
              <w:top w:val="nil"/>
              <w:left w:val="single" w:sz="4" w:space="0" w:color="000000"/>
              <w:bottom w:val="single" w:sz="4" w:space="0" w:color="auto"/>
              <w:right w:val="single" w:sz="4" w:space="0" w:color="auto"/>
            </w:tcBorders>
            <w:vAlign w:val="center"/>
          </w:tcPr>
          <w:p w14:paraId="39705199"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混合类（T09）</w:t>
            </w:r>
          </w:p>
        </w:tc>
        <w:tc>
          <w:tcPr>
            <w:tcW w:w="1624" w:type="dxa"/>
            <w:tcBorders>
              <w:top w:val="single" w:sz="4" w:space="0" w:color="auto"/>
              <w:left w:val="single" w:sz="4" w:space="0" w:color="auto"/>
              <w:bottom w:val="single" w:sz="4" w:space="0" w:color="auto"/>
              <w:right w:val="single" w:sz="4" w:space="0" w:color="auto"/>
            </w:tcBorders>
            <w:vAlign w:val="center"/>
          </w:tcPr>
          <w:p w14:paraId="24F72D4E" w14:textId="77777777" w:rsidR="00FA60D0" w:rsidRDefault="00AB72F9">
            <w:pPr>
              <w:widowControl/>
              <w:snapToGrid w:val="0"/>
              <w:jc w:val="center"/>
              <w:rPr>
                <w:rFonts w:ascii="仿宋_GB2312" w:eastAsia="仿宋_GB2312" w:hAnsi="微软雅黑" w:cs="宋体"/>
                <w:kern w:val="0"/>
                <w:szCs w:val="21"/>
              </w:rPr>
            </w:pPr>
            <w:r>
              <w:rPr>
                <w:rFonts w:ascii="仿宋_GB2312" w:eastAsia="仿宋_GB2312" w:hAnsi="微软雅黑" w:cs="宋体" w:hint="eastAsia"/>
                <w:kern w:val="0"/>
                <w:szCs w:val="21"/>
              </w:rPr>
              <w:t>——</w:t>
            </w:r>
          </w:p>
        </w:tc>
        <w:tc>
          <w:tcPr>
            <w:tcW w:w="4997" w:type="dxa"/>
            <w:gridSpan w:val="2"/>
            <w:tcBorders>
              <w:top w:val="nil"/>
              <w:left w:val="single" w:sz="4" w:space="0" w:color="auto"/>
              <w:bottom w:val="single" w:sz="4" w:space="0" w:color="auto"/>
              <w:right w:val="single" w:sz="4" w:space="0" w:color="000000"/>
            </w:tcBorders>
            <w:vAlign w:val="center"/>
          </w:tcPr>
          <w:p w14:paraId="3991D131"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总建筑面积或指标达到所含建设项目分类（T01-T08）中任一类的启动阈值</w:t>
            </w:r>
          </w:p>
        </w:tc>
      </w:tr>
      <w:tr w:rsidR="00FA60D0" w14:paraId="502BF8E0" w14:textId="77777777">
        <w:trPr>
          <w:trHeight w:val="510"/>
          <w:jc w:val="center"/>
        </w:trPr>
        <w:tc>
          <w:tcPr>
            <w:tcW w:w="1675" w:type="dxa"/>
            <w:tcBorders>
              <w:top w:val="single" w:sz="4" w:space="0" w:color="auto"/>
              <w:left w:val="single" w:sz="4" w:space="0" w:color="000000"/>
              <w:bottom w:val="single" w:sz="4" w:space="0" w:color="000000"/>
              <w:right w:val="single" w:sz="4" w:space="0" w:color="auto"/>
            </w:tcBorders>
            <w:vAlign w:val="center"/>
          </w:tcPr>
          <w:p w14:paraId="3BA7DE73" w14:textId="77777777" w:rsidR="00FA60D0" w:rsidRDefault="00AB72F9">
            <w:pPr>
              <w:widowControl/>
              <w:snapToGrid w:val="0"/>
              <w:jc w:val="left"/>
              <w:rPr>
                <w:rFonts w:ascii="仿宋_GB2312" w:eastAsia="仿宋_GB2312" w:hAnsi="微软雅黑" w:cs="宋体"/>
                <w:kern w:val="0"/>
                <w:szCs w:val="21"/>
              </w:rPr>
            </w:pPr>
            <w:r>
              <w:rPr>
                <w:rFonts w:ascii="仿宋_GB2312" w:eastAsia="仿宋_GB2312" w:hAnsi="微软雅黑" w:cs="宋体" w:hint="eastAsia"/>
                <w:kern w:val="0"/>
                <w:szCs w:val="21"/>
              </w:rPr>
              <w:t>其他</w:t>
            </w:r>
          </w:p>
        </w:tc>
        <w:tc>
          <w:tcPr>
            <w:tcW w:w="6621" w:type="dxa"/>
            <w:gridSpan w:val="3"/>
            <w:tcBorders>
              <w:top w:val="single" w:sz="4" w:space="0" w:color="auto"/>
              <w:left w:val="single" w:sz="4" w:space="0" w:color="auto"/>
              <w:bottom w:val="single" w:sz="4" w:space="0" w:color="auto"/>
              <w:right w:val="single" w:sz="4" w:space="0" w:color="000000"/>
            </w:tcBorders>
            <w:vAlign w:val="center"/>
          </w:tcPr>
          <w:p w14:paraId="320DA2D1" w14:textId="77777777" w:rsidR="00FA60D0" w:rsidRDefault="00AB72F9">
            <w:pPr>
              <w:widowControl/>
              <w:snapToGrid w:val="0"/>
              <w:jc w:val="left"/>
              <w:rPr>
                <w:rFonts w:ascii="仿宋_GB2312" w:eastAsia="仿宋_GB2312" w:hAnsi="微软雅黑" w:cs="宋体"/>
                <w:kern w:val="0"/>
                <w:szCs w:val="21"/>
              </w:rPr>
            </w:pPr>
            <w:bookmarkStart w:id="6" w:name="_Hlk56412714"/>
            <w:r>
              <w:rPr>
                <w:rFonts w:ascii="仿宋_GB2312" w:eastAsia="仿宋_GB2312" w:hAnsi="微软雅黑" w:cs="宋体" w:hint="eastAsia"/>
                <w:kern w:val="0"/>
                <w:szCs w:val="21"/>
              </w:rPr>
              <w:t>轨道站点或车辆段上盖物业开发项目、内含配建公交站场的项目</w:t>
            </w:r>
            <w:bookmarkEnd w:id="6"/>
          </w:p>
        </w:tc>
      </w:tr>
    </w:tbl>
    <w:p w14:paraId="41F7981F" w14:textId="77777777" w:rsidR="00FA60D0" w:rsidRDefault="00AB72F9">
      <w:pPr>
        <w:widowControl/>
        <w:snapToGrid w:val="0"/>
        <w:jc w:val="left"/>
        <w:rPr>
          <w:rFonts w:ascii="仿宋_GB2312" w:eastAsia="仿宋_GB2312" w:hAnsi="微软雅黑" w:cs="宋体"/>
          <w:kern w:val="0"/>
          <w:szCs w:val="21"/>
        </w:rPr>
      </w:pPr>
      <w:bookmarkStart w:id="7" w:name="_Hlk62660087"/>
      <w:r>
        <w:rPr>
          <w:rFonts w:ascii="仿宋_GB2312" w:eastAsia="仿宋_GB2312" w:hAnsi="微软雅黑" w:cs="宋体" w:hint="eastAsia"/>
          <w:kern w:val="0"/>
          <w:szCs w:val="21"/>
        </w:rPr>
        <w:t>备注：</w:t>
      </w:r>
      <w:bookmarkStart w:id="8" w:name="_Hlk73527124"/>
      <w:r>
        <w:rPr>
          <w:rFonts w:ascii="仿宋_GB2312" w:eastAsia="仿宋_GB2312" w:hAnsi="微软雅黑" w:cs="宋体" w:hint="eastAsia"/>
          <w:kern w:val="0"/>
          <w:szCs w:val="21"/>
        </w:rPr>
        <w:t>一类区</w:t>
      </w:r>
      <w:proofErr w:type="gramStart"/>
      <w:r>
        <w:rPr>
          <w:rFonts w:ascii="仿宋_GB2312" w:eastAsia="仿宋_GB2312" w:hAnsi="微软雅黑" w:cs="宋体" w:hint="eastAsia"/>
          <w:kern w:val="0"/>
          <w:szCs w:val="21"/>
        </w:rPr>
        <w:t>包含禅桂城区</w:t>
      </w:r>
      <w:proofErr w:type="gramEnd"/>
      <w:r>
        <w:rPr>
          <w:rFonts w:ascii="仿宋_GB2312" w:eastAsia="仿宋_GB2312" w:hAnsi="微软雅黑" w:cs="宋体" w:hint="eastAsia"/>
          <w:kern w:val="0"/>
          <w:szCs w:val="21"/>
        </w:rPr>
        <w:t>、大良城区及容桂城区。</w:t>
      </w:r>
      <w:proofErr w:type="gramStart"/>
      <w:r>
        <w:rPr>
          <w:rFonts w:ascii="仿宋_GB2312" w:eastAsia="仿宋_GB2312" w:hAnsi="微软雅黑" w:cs="宋体" w:hint="eastAsia"/>
          <w:kern w:val="0"/>
          <w:szCs w:val="21"/>
        </w:rPr>
        <w:t>其中禅桂城区</w:t>
      </w:r>
      <w:proofErr w:type="gramEnd"/>
      <w:r>
        <w:rPr>
          <w:rFonts w:ascii="仿宋_GB2312" w:eastAsia="仿宋_GB2312" w:hAnsi="微软雅黑" w:cs="宋体" w:hint="eastAsia"/>
          <w:kern w:val="0"/>
          <w:szCs w:val="21"/>
        </w:rPr>
        <w:t>为佛山水道</w:t>
      </w:r>
      <w:r>
        <w:rPr>
          <w:rFonts w:ascii="仿宋_GB2312" w:eastAsia="仿宋_GB2312" w:hAnsi="微软雅黑" w:cs="宋体"/>
          <w:kern w:val="0"/>
          <w:szCs w:val="21"/>
        </w:rPr>
        <w:t>-海五路-</w:t>
      </w:r>
      <w:proofErr w:type="gramStart"/>
      <w:r>
        <w:rPr>
          <w:rFonts w:ascii="仿宋_GB2312" w:eastAsia="仿宋_GB2312" w:hAnsi="微软雅黑" w:cs="宋体" w:hint="eastAsia"/>
          <w:kern w:val="0"/>
          <w:szCs w:val="21"/>
        </w:rPr>
        <w:t>佛江高速</w:t>
      </w:r>
      <w:proofErr w:type="gramEnd"/>
      <w:r>
        <w:rPr>
          <w:rFonts w:ascii="仿宋_GB2312" w:eastAsia="仿宋_GB2312" w:hAnsi="微软雅黑" w:cs="宋体"/>
          <w:kern w:val="0"/>
          <w:szCs w:val="21"/>
        </w:rPr>
        <w:t>-东平河-佛山大道围合的区域；</w:t>
      </w:r>
      <w:r>
        <w:rPr>
          <w:rFonts w:ascii="仿宋_GB2312" w:eastAsia="仿宋_GB2312" w:hAnsi="微软雅黑" w:cs="宋体" w:hint="eastAsia"/>
          <w:kern w:val="0"/>
          <w:szCs w:val="21"/>
        </w:rPr>
        <w:t>大良城区为</w:t>
      </w:r>
      <w:proofErr w:type="gramStart"/>
      <w:r>
        <w:rPr>
          <w:rFonts w:ascii="仿宋_GB2312" w:eastAsia="仿宋_GB2312" w:hAnsi="微软雅黑" w:cs="宋体" w:hint="eastAsia"/>
          <w:kern w:val="0"/>
          <w:szCs w:val="21"/>
        </w:rPr>
        <w:t>桂畔海</w:t>
      </w:r>
      <w:proofErr w:type="gramEnd"/>
      <w:r>
        <w:rPr>
          <w:rFonts w:ascii="仿宋_GB2312" w:eastAsia="仿宋_GB2312" w:hAnsi="微软雅黑" w:cs="宋体"/>
          <w:kern w:val="0"/>
          <w:szCs w:val="21"/>
        </w:rPr>
        <w:t>-大良河-广珠公路围合的区域；容桂城区为容桂水道-广珠公路-桂州水道-容桂大道围合的区域</w:t>
      </w:r>
      <w:bookmarkEnd w:id="8"/>
      <w:r>
        <w:rPr>
          <w:rFonts w:ascii="仿宋_GB2312" w:eastAsia="仿宋_GB2312" w:hAnsi="微软雅黑" w:cs="宋体" w:hint="eastAsia"/>
          <w:kern w:val="0"/>
          <w:szCs w:val="21"/>
        </w:rPr>
        <w:t>。</w:t>
      </w:r>
      <w:bookmarkEnd w:id="7"/>
    </w:p>
    <w:p w14:paraId="5293A292" w14:textId="0E4CA58E" w:rsidR="00FA60D0" w:rsidRDefault="00AB72F9" w:rsidP="00BF17E3">
      <w:pPr>
        <w:widowControl/>
        <w:shd w:val="clear" w:color="auto" w:fill="FFFFFF"/>
        <w:snapToGrid w:val="0"/>
        <w:spacing w:beforeLines="100" w:before="312" w:line="520" w:lineRule="exact"/>
        <w:ind w:firstLine="641"/>
        <w:rPr>
          <w:rFonts w:ascii="仿宋_GB2312" w:eastAsia="仿宋_GB2312" w:hAnsi="宋体" w:cs="宋体"/>
          <w:kern w:val="0"/>
          <w:sz w:val="24"/>
          <w:szCs w:val="24"/>
        </w:rPr>
      </w:pPr>
      <w:r>
        <w:rPr>
          <w:rFonts w:ascii="黑体" w:eastAsia="黑体" w:hAnsi="黑体" w:cs="宋体" w:hint="eastAsia"/>
          <w:b/>
          <w:bCs/>
          <w:kern w:val="0"/>
          <w:sz w:val="24"/>
          <w:szCs w:val="24"/>
        </w:rPr>
        <w:t>第七条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城乡规划的交通影响评价报告由组织编制该城乡规划的部门在编制城乡规划时同步组织编制，并作为城乡规划报告的附件，由自然资源部门组织与城乡规划报告同步</w:t>
      </w:r>
      <w:r w:rsidR="00BF2D55">
        <w:rPr>
          <w:rFonts w:ascii="仿宋_GB2312" w:eastAsia="仿宋_GB2312" w:hAnsi="宋体" w:cs="宋体" w:hint="eastAsia"/>
          <w:kern w:val="0"/>
          <w:sz w:val="24"/>
          <w:szCs w:val="24"/>
        </w:rPr>
        <w:t>专家评审</w:t>
      </w:r>
      <w:r>
        <w:rPr>
          <w:rFonts w:ascii="仿宋_GB2312" w:eastAsia="仿宋_GB2312" w:hAnsi="宋体" w:cs="宋体" w:hint="eastAsia"/>
          <w:kern w:val="0"/>
          <w:sz w:val="24"/>
          <w:szCs w:val="24"/>
        </w:rPr>
        <w:t>。</w:t>
      </w:r>
    </w:p>
    <w:p w14:paraId="04D0958E" w14:textId="2D77E877" w:rsidR="00FA60D0" w:rsidRDefault="00AB72F9" w:rsidP="00BF17E3">
      <w:pPr>
        <w:widowControl/>
        <w:shd w:val="clear" w:color="auto" w:fill="FFFFFF"/>
        <w:snapToGrid w:val="0"/>
        <w:spacing w:line="520" w:lineRule="exact"/>
        <w:ind w:firstLine="641"/>
        <w:rPr>
          <w:rFonts w:ascii="仿宋_GB2312" w:eastAsia="仿宋_GB2312" w:hAnsi="宋体" w:cs="宋体"/>
          <w:kern w:val="0"/>
          <w:sz w:val="27"/>
          <w:szCs w:val="27"/>
        </w:rPr>
      </w:pPr>
      <w:r>
        <w:rPr>
          <w:rFonts w:ascii="黑体" w:eastAsia="黑体" w:hAnsi="黑体" w:cs="宋体" w:hint="eastAsia"/>
          <w:b/>
          <w:bCs/>
          <w:kern w:val="0"/>
          <w:sz w:val="24"/>
          <w:szCs w:val="24"/>
        </w:rPr>
        <w:lastRenderedPageBreak/>
        <w:t>第八条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城乡规划的交通影响评价报告</w:t>
      </w:r>
      <w:r w:rsidR="007C03CA">
        <w:rPr>
          <w:rFonts w:ascii="仿宋_GB2312" w:eastAsia="仿宋_GB2312" w:hAnsi="宋体" w:cs="宋体" w:hint="eastAsia"/>
          <w:kern w:val="0"/>
          <w:sz w:val="24"/>
          <w:szCs w:val="24"/>
        </w:rPr>
        <w:t>成果</w:t>
      </w:r>
      <w:r>
        <w:rPr>
          <w:rFonts w:ascii="仿宋_GB2312" w:eastAsia="仿宋_GB2312" w:hAnsi="宋体" w:cs="宋体" w:hint="eastAsia"/>
          <w:kern w:val="0"/>
          <w:sz w:val="24"/>
          <w:szCs w:val="24"/>
        </w:rPr>
        <w:t>内容和深度应符合国家现行相关标准、规范及《佛山交通影响评价技术指引》的要求。地块开发细则、城市更新单元规划和规划条件论证报告的交通影响评价报告应</w:t>
      </w:r>
      <w:r w:rsidRPr="00BF17E3">
        <w:rPr>
          <w:rFonts w:ascii="仿宋_GB2312" w:eastAsia="仿宋_GB2312" w:hAnsi="宋体" w:cs="宋体" w:hint="eastAsia"/>
          <w:kern w:val="0"/>
          <w:sz w:val="24"/>
          <w:szCs w:val="24"/>
        </w:rPr>
        <w:t>明确</w:t>
      </w:r>
      <w:r>
        <w:rPr>
          <w:rFonts w:ascii="仿宋_GB2312" w:eastAsia="仿宋_GB2312" w:hAnsi="宋体" w:cs="宋体" w:hint="eastAsia"/>
          <w:kern w:val="0"/>
          <w:sz w:val="24"/>
          <w:szCs w:val="24"/>
        </w:rPr>
        <w:t>相关地块</w:t>
      </w:r>
      <w:r w:rsidRPr="00BF17E3">
        <w:rPr>
          <w:rFonts w:ascii="仿宋_GB2312" w:eastAsia="仿宋_GB2312" w:hAnsi="宋体" w:cs="宋体" w:hint="eastAsia"/>
          <w:kern w:val="0"/>
          <w:sz w:val="24"/>
          <w:szCs w:val="24"/>
        </w:rPr>
        <w:t>是否需要开展建设项目交通影响评价</w:t>
      </w:r>
      <w:r>
        <w:rPr>
          <w:rFonts w:ascii="仿宋_GB2312" w:eastAsia="仿宋_GB2312" w:hAnsi="宋体" w:cs="宋体" w:hint="eastAsia"/>
          <w:kern w:val="0"/>
          <w:sz w:val="24"/>
          <w:szCs w:val="24"/>
        </w:rPr>
        <w:t>。</w:t>
      </w:r>
    </w:p>
    <w:p w14:paraId="51062C3F" w14:textId="0597EA9D" w:rsidR="00FA60D0" w:rsidRDefault="00AB72F9">
      <w:pPr>
        <w:widowControl/>
        <w:shd w:val="clear" w:color="auto" w:fill="FFFFFF"/>
        <w:snapToGrid w:val="0"/>
        <w:spacing w:line="520" w:lineRule="exact"/>
        <w:ind w:firstLine="641"/>
        <w:rPr>
          <w:rFonts w:ascii="仿宋_GB2312" w:eastAsia="仿宋_GB2312" w:hAnsi="宋体" w:cs="宋体"/>
          <w:kern w:val="0"/>
          <w:sz w:val="24"/>
          <w:szCs w:val="24"/>
        </w:rPr>
      </w:pPr>
      <w:r>
        <w:rPr>
          <w:rFonts w:ascii="黑体" w:eastAsia="黑体" w:hAnsi="黑体" w:cs="宋体" w:hint="eastAsia"/>
          <w:b/>
          <w:bCs/>
          <w:kern w:val="0"/>
          <w:sz w:val="24"/>
          <w:szCs w:val="24"/>
        </w:rPr>
        <w:t>第九条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sidRPr="00BF17E3">
        <w:rPr>
          <w:rFonts w:ascii="仿宋_GB2312" w:eastAsia="仿宋_GB2312" w:hAnsi="宋体" w:cs="宋体" w:hint="eastAsia"/>
          <w:kern w:val="0"/>
          <w:sz w:val="24"/>
          <w:szCs w:val="24"/>
        </w:rPr>
        <w:t>自然资源部门在</w:t>
      </w:r>
      <w:r>
        <w:rPr>
          <w:rFonts w:ascii="仿宋_GB2312" w:eastAsia="仿宋_GB2312" w:hAnsi="宋体" w:cs="宋体" w:hint="eastAsia"/>
          <w:kern w:val="0"/>
          <w:sz w:val="24"/>
          <w:szCs w:val="24"/>
        </w:rPr>
        <w:t>组织城乡规划报告</w:t>
      </w:r>
      <w:r w:rsidR="00BF2D55">
        <w:rPr>
          <w:rFonts w:ascii="仿宋_GB2312" w:eastAsia="仿宋_GB2312" w:hAnsi="宋体" w:cs="宋体" w:hint="eastAsia"/>
          <w:kern w:val="0"/>
          <w:sz w:val="24"/>
          <w:szCs w:val="24"/>
        </w:rPr>
        <w:t>专家评审</w:t>
      </w:r>
      <w:r>
        <w:rPr>
          <w:rFonts w:ascii="仿宋_GB2312" w:eastAsia="仿宋_GB2312" w:hAnsi="宋体" w:cs="宋体" w:hint="eastAsia"/>
          <w:kern w:val="0"/>
          <w:sz w:val="24"/>
          <w:szCs w:val="24"/>
        </w:rPr>
        <w:t>前，城乡规划交通影响评价报告应先征得交通运输部门的技术初审意见</w:t>
      </w:r>
      <w:r w:rsidRPr="00BF17E3">
        <w:rPr>
          <w:rFonts w:ascii="仿宋_GB2312" w:eastAsia="仿宋_GB2312" w:hAnsi="宋体" w:cs="宋体" w:hint="eastAsia"/>
          <w:kern w:val="0"/>
          <w:sz w:val="24"/>
          <w:szCs w:val="24"/>
        </w:rPr>
        <w:t>，交通影响评价报告编制单位应合理采纳</w:t>
      </w:r>
      <w:r w:rsidR="00BF2D55">
        <w:rPr>
          <w:rFonts w:ascii="仿宋_GB2312" w:eastAsia="仿宋_GB2312" w:hAnsi="宋体" w:cs="宋体" w:hint="eastAsia"/>
          <w:kern w:val="0"/>
          <w:sz w:val="24"/>
          <w:szCs w:val="24"/>
        </w:rPr>
        <w:t>技术</w:t>
      </w:r>
      <w:r w:rsidRPr="00BF17E3">
        <w:rPr>
          <w:rFonts w:ascii="仿宋_GB2312" w:eastAsia="仿宋_GB2312" w:hAnsi="宋体" w:cs="宋体" w:hint="eastAsia"/>
          <w:kern w:val="0"/>
          <w:sz w:val="24"/>
          <w:szCs w:val="24"/>
        </w:rPr>
        <w:t>初审意见并完善交通影响评价报告</w:t>
      </w:r>
      <w:r>
        <w:rPr>
          <w:rFonts w:ascii="仿宋_GB2312" w:eastAsia="仿宋_GB2312" w:hAnsi="宋体" w:cs="宋体" w:hint="eastAsia"/>
          <w:kern w:val="0"/>
          <w:sz w:val="24"/>
          <w:szCs w:val="24"/>
        </w:rPr>
        <w:t>。</w:t>
      </w:r>
    </w:p>
    <w:p w14:paraId="41B1BDD2" w14:textId="64B71E32" w:rsidR="00FA60D0" w:rsidRDefault="00AB72F9">
      <w:pPr>
        <w:widowControl/>
        <w:shd w:val="clear" w:color="auto" w:fill="FFFFFF"/>
        <w:snapToGrid w:val="0"/>
        <w:spacing w:line="520" w:lineRule="exact"/>
        <w:ind w:firstLine="641"/>
        <w:rPr>
          <w:rFonts w:ascii="仿宋_GB2312" w:eastAsia="仿宋_GB2312" w:hAnsi="宋体" w:cs="宋体"/>
          <w:kern w:val="0"/>
          <w:sz w:val="24"/>
          <w:szCs w:val="24"/>
        </w:rPr>
      </w:pPr>
      <w:r>
        <w:rPr>
          <w:rFonts w:ascii="黑体" w:eastAsia="黑体" w:hAnsi="黑体" w:cs="宋体" w:hint="eastAsia"/>
          <w:b/>
          <w:bCs/>
          <w:kern w:val="0"/>
          <w:sz w:val="24"/>
          <w:szCs w:val="24"/>
        </w:rPr>
        <w:t>第十条</w:t>
      </w:r>
      <w:bookmarkStart w:id="9" w:name="_Hlk57101305"/>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城乡规划的交通影响评价报告是审批城乡规划和合理设定《土地资源和技术控制指标清单》（规划</w:t>
      </w:r>
      <w:r>
        <w:rPr>
          <w:rFonts w:ascii="仿宋_GB2312" w:eastAsia="仿宋_GB2312" w:hAnsi="宋体" w:cs="宋体"/>
          <w:kern w:val="0"/>
          <w:sz w:val="24"/>
          <w:szCs w:val="24"/>
        </w:rPr>
        <w:t>条件</w:t>
      </w:r>
      <w:r>
        <w:rPr>
          <w:rFonts w:ascii="仿宋_GB2312" w:eastAsia="仿宋_GB2312" w:hAnsi="宋体" w:cs="宋体" w:hint="eastAsia"/>
          <w:kern w:val="0"/>
          <w:sz w:val="24"/>
          <w:szCs w:val="24"/>
        </w:rPr>
        <w:t>）的重要依据</w:t>
      </w:r>
      <w:bookmarkEnd w:id="9"/>
      <w:r>
        <w:rPr>
          <w:rFonts w:ascii="仿宋_GB2312" w:eastAsia="仿宋_GB2312" w:hAnsi="宋体" w:cs="宋体" w:hint="eastAsia"/>
          <w:kern w:val="0"/>
          <w:sz w:val="24"/>
          <w:szCs w:val="24"/>
        </w:rPr>
        <w:t>。</w:t>
      </w:r>
    </w:p>
    <w:p w14:paraId="5ACBF3C9" w14:textId="7524EC7A" w:rsidR="00FA60D0" w:rsidRDefault="00AB72F9">
      <w:pPr>
        <w:widowControl/>
        <w:shd w:val="clear" w:color="auto" w:fill="FFFFFF"/>
        <w:snapToGrid w:val="0"/>
        <w:spacing w:line="520" w:lineRule="exact"/>
        <w:ind w:firstLine="641"/>
        <w:rPr>
          <w:rFonts w:ascii="仿宋_GB2312" w:eastAsia="仿宋_GB2312" w:hAnsi="宋体" w:cs="宋体"/>
          <w:kern w:val="0"/>
          <w:sz w:val="24"/>
          <w:szCs w:val="24"/>
        </w:rPr>
      </w:pPr>
      <w:r>
        <w:rPr>
          <w:rFonts w:ascii="仿宋_GB2312" w:eastAsia="仿宋_GB2312" w:hAnsi="宋体" w:cs="宋体" w:hint="eastAsia"/>
          <w:kern w:val="0"/>
          <w:sz w:val="24"/>
          <w:szCs w:val="24"/>
        </w:rPr>
        <w:t>（一）控制性详细规划交通影响评价报告提出的改善措施应落实到控制性详细规划成果中，</w:t>
      </w:r>
      <w:bookmarkStart w:id="10" w:name="_Hlk73527027"/>
      <w:r>
        <w:rPr>
          <w:rFonts w:ascii="仿宋_GB2312" w:eastAsia="仿宋_GB2312" w:hAnsi="宋体" w:cs="宋体" w:hint="eastAsia"/>
          <w:kern w:val="0"/>
          <w:sz w:val="24"/>
          <w:szCs w:val="24"/>
        </w:rPr>
        <w:t>由自然资源部门</w:t>
      </w:r>
      <w:bookmarkStart w:id="11" w:name="_Hlk62658028"/>
      <w:r>
        <w:rPr>
          <w:rFonts w:ascii="仿宋_GB2312" w:eastAsia="仿宋_GB2312" w:hAnsi="宋体" w:cs="宋体" w:hint="eastAsia"/>
          <w:kern w:val="0"/>
          <w:sz w:val="24"/>
          <w:szCs w:val="24"/>
        </w:rPr>
        <w:t>负责审查</w:t>
      </w:r>
      <w:bookmarkEnd w:id="10"/>
      <w:bookmarkEnd w:id="11"/>
      <w:r>
        <w:rPr>
          <w:rFonts w:ascii="仿宋_GB2312" w:eastAsia="仿宋_GB2312" w:hAnsi="宋体" w:cs="宋体" w:hint="eastAsia"/>
          <w:kern w:val="0"/>
          <w:sz w:val="24"/>
          <w:szCs w:val="24"/>
        </w:rPr>
        <w:t>；</w:t>
      </w:r>
    </w:p>
    <w:p w14:paraId="5D543F55" w14:textId="007C8784" w:rsidR="00FA60D0" w:rsidRDefault="00AB72F9">
      <w:pPr>
        <w:widowControl/>
        <w:shd w:val="clear" w:color="auto" w:fill="FFFFFF"/>
        <w:snapToGrid w:val="0"/>
        <w:spacing w:line="520" w:lineRule="exact"/>
        <w:ind w:firstLine="641"/>
        <w:rPr>
          <w:rFonts w:ascii="仿宋_GB2312" w:eastAsia="仿宋_GB2312" w:hAnsi="宋体" w:cs="宋体"/>
          <w:kern w:val="0"/>
          <w:sz w:val="24"/>
          <w:szCs w:val="24"/>
        </w:rPr>
      </w:pPr>
      <w:r>
        <w:rPr>
          <w:rFonts w:ascii="仿宋_GB2312" w:eastAsia="仿宋_GB2312" w:hAnsi="宋体" w:cs="宋体" w:hint="eastAsia"/>
          <w:kern w:val="0"/>
          <w:sz w:val="24"/>
          <w:szCs w:val="24"/>
        </w:rPr>
        <w:t>（二）地块开发细则、城市更新单元规划和规划条件论证报告的交通影响评价报告提出的改善措施应分类落实：①由建设项目业主单位负责实施的改善措施，应由自然资源部门落实到《土地资源和技术控制指标清单》（规划条件），并要求建设项目业主单位在项目建设时同步实施，各职能部门在项目竣工验收或联合验收时按各自职责核实；②由政府负责实施的改善措施中，必要性措施应由自然资源部门在土地出让联席会议上明确具体的实施计划，其他改善措施作为交通运输、公安交警、轨道交通部门编制片区交通规划、制定交通改善方案的依据。</w:t>
      </w:r>
    </w:p>
    <w:p w14:paraId="55F4297A" w14:textId="77777777" w:rsidR="00FA60D0" w:rsidRDefault="00FA60D0">
      <w:pPr>
        <w:widowControl/>
        <w:shd w:val="clear" w:color="auto" w:fill="FFFFFF"/>
        <w:snapToGrid w:val="0"/>
        <w:spacing w:line="560" w:lineRule="exact"/>
        <w:jc w:val="center"/>
        <w:rPr>
          <w:rFonts w:ascii="黑体" w:eastAsia="黑体" w:hAnsi="黑体" w:cs="宋体"/>
          <w:b/>
          <w:bCs/>
          <w:kern w:val="0"/>
          <w:sz w:val="32"/>
          <w:szCs w:val="32"/>
        </w:rPr>
      </w:pPr>
    </w:p>
    <w:p w14:paraId="12E811BA" w14:textId="77777777" w:rsidR="00FA60D0" w:rsidRDefault="00AB72F9">
      <w:pPr>
        <w:widowControl/>
        <w:shd w:val="clear" w:color="auto" w:fill="FFFFFF"/>
        <w:snapToGrid w:val="0"/>
        <w:spacing w:line="560" w:lineRule="exact"/>
        <w:jc w:val="center"/>
        <w:rPr>
          <w:rFonts w:ascii="黑体" w:eastAsia="黑体" w:hAnsi="黑体" w:cs="宋体"/>
          <w:b/>
          <w:bCs/>
          <w:kern w:val="0"/>
          <w:sz w:val="32"/>
          <w:szCs w:val="32"/>
        </w:rPr>
      </w:pPr>
      <w:r>
        <w:rPr>
          <w:rFonts w:ascii="黑体" w:eastAsia="黑体" w:hAnsi="黑体" w:cs="宋体" w:hint="eastAsia"/>
          <w:b/>
          <w:bCs/>
          <w:kern w:val="0"/>
          <w:sz w:val="32"/>
          <w:szCs w:val="32"/>
        </w:rPr>
        <w:t>第三章</w:t>
      </w:r>
      <w:r>
        <w:rPr>
          <w:rFonts w:ascii="Calibri" w:eastAsia="黑体" w:hAnsi="Calibri" w:cs="Calibri"/>
          <w:b/>
          <w:bCs/>
          <w:kern w:val="0"/>
          <w:sz w:val="32"/>
          <w:szCs w:val="32"/>
        </w:rPr>
        <w:t xml:space="preserve">   </w:t>
      </w:r>
      <w:bookmarkStart w:id="12" w:name="_Hlk71211456"/>
      <w:r>
        <w:rPr>
          <w:rFonts w:ascii="黑体" w:eastAsia="黑体" w:hAnsi="黑体" w:cs="宋体" w:hint="eastAsia"/>
          <w:b/>
          <w:bCs/>
          <w:kern w:val="0"/>
          <w:sz w:val="32"/>
          <w:szCs w:val="32"/>
        </w:rPr>
        <w:t>建设项目的交通影响评价</w:t>
      </w:r>
      <w:bookmarkEnd w:id="12"/>
    </w:p>
    <w:p w14:paraId="6BFCCF54" w14:textId="5CDC0605" w:rsidR="00FA60D0" w:rsidRDefault="00AB72F9">
      <w:pPr>
        <w:widowControl/>
        <w:shd w:val="clear" w:color="auto" w:fill="FFFFFF"/>
        <w:snapToGrid w:val="0"/>
        <w:spacing w:line="560" w:lineRule="exact"/>
        <w:ind w:firstLine="641"/>
        <w:jc w:val="left"/>
        <w:rPr>
          <w:rFonts w:ascii="仿宋_GB2312" w:eastAsia="仿宋_GB2312" w:hAnsi="宋体" w:cs="宋体"/>
          <w:kern w:val="0"/>
          <w:sz w:val="27"/>
          <w:szCs w:val="27"/>
        </w:rPr>
      </w:pPr>
      <w:r>
        <w:rPr>
          <w:rFonts w:ascii="黑体" w:eastAsia="黑体" w:hAnsi="黑体" w:cs="宋体" w:hint="eastAsia"/>
          <w:b/>
          <w:bCs/>
          <w:kern w:val="0"/>
          <w:sz w:val="24"/>
          <w:szCs w:val="24"/>
        </w:rPr>
        <w:t>第十一条</w:t>
      </w:r>
      <w:bookmarkStart w:id="13" w:name="_Hlk73527211"/>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新建、改建、扩建的建设项目，符合以下任</w:t>
      </w:r>
      <w:proofErr w:type="gramStart"/>
      <w:r>
        <w:rPr>
          <w:rFonts w:ascii="仿宋_GB2312" w:eastAsia="仿宋_GB2312" w:hAnsi="宋体" w:cs="宋体" w:hint="eastAsia"/>
          <w:kern w:val="0"/>
          <w:sz w:val="24"/>
          <w:szCs w:val="24"/>
        </w:rPr>
        <w:t>一</w:t>
      </w:r>
      <w:proofErr w:type="gramEnd"/>
      <w:r>
        <w:rPr>
          <w:rFonts w:ascii="仿宋_GB2312" w:eastAsia="仿宋_GB2312" w:hAnsi="宋体" w:cs="宋体" w:hint="eastAsia"/>
          <w:kern w:val="0"/>
          <w:sz w:val="24"/>
          <w:szCs w:val="24"/>
        </w:rPr>
        <w:t>条件的，须进行建设项目交通影响评价</w:t>
      </w:r>
      <w:bookmarkEnd w:id="13"/>
      <w:r>
        <w:rPr>
          <w:rFonts w:ascii="仿宋_GB2312" w:eastAsia="仿宋_GB2312" w:hAnsi="宋体" w:cs="宋体" w:hint="eastAsia"/>
          <w:kern w:val="0"/>
          <w:sz w:val="24"/>
          <w:szCs w:val="24"/>
        </w:rPr>
        <w:t>：</w:t>
      </w:r>
    </w:p>
    <w:p w14:paraId="5CAAC3A6" w14:textId="77777777" w:rsidR="00FA60D0" w:rsidRDefault="00AB72F9">
      <w:pPr>
        <w:widowControl/>
        <w:shd w:val="clear" w:color="auto" w:fill="FFFFFF"/>
        <w:snapToGrid w:val="0"/>
        <w:spacing w:line="560" w:lineRule="exact"/>
        <w:ind w:firstLine="641"/>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（一）</w:t>
      </w:r>
      <w:r w:rsidRPr="00BF17E3">
        <w:rPr>
          <w:rFonts w:ascii="仿宋_GB2312" w:eastAsia="仿宋_GB2312" w:hAnsi="宋体" w:cs="宋体" w:hint="eastAsia"/>
          <w:kern w:val="0"/>
          <w:sz w:val="24"/>
          <w:szCs w:val="24"/>
        </w:rPr>
        <w:t>在《土地资源和技术控制指标清单》（规划</w:t>
      </w:r>
      <w:r w:rsidRPr="00BF17E3">
        <w:rPr>
          <w:rFonts w:ascii="仿宋_GB2312" w:eastAsia="仿宋_GB2312" w:hAnsi="宋体" w:cs="宋体"/>
          <w:kern w:val="0"/>
          <w:sz w:val="24"/>
          <w:szCs w:val="24"/>
        </w:rPr>
        <w:t>条件</w:t>
      </w:r>
      <w:r w:rsidRPr="00BF17E3">
        <w:rPr>
          <w:rFonts w:ascii="仿宋_GB2312" w:eastAsia="仿宋_GB2312" w:hAnsi="宋体" w:cs="宋体" w:hint="eastAsia"/>
          <w:kern w:val="0"/>
          <w:sz w:val="24"/>
          <w:szCs w:val="24"/>
        </w:rPr>
        <w:t>）中明确要开展建设项目交通影响评价的项目；</w:t>
      </w:r>
    </w:p>
    <w:p w14:paraId="1E209425" w14:textId="5ECDE52D" w:rsidR="00FA60D0" w:rsidRPr="00BF17E3" w:rsidRDefault="00AB72F9">
      <w:pPr>
        <w:widowControl/>
        <w:shd w:val="clear" w:color="auto" w:fill="FFFFFF"/>
        <w:snapToGrid w:val="0"/>
        <w:spacing w:line="560" w:lineRule="exact"/>
        <w:ind w:firstLine="641"/>
        <w:jc w:val="left"/>
        <w:rPr>
          <w:rFonts w:ascii="仿宋_GB2312" w:eastAsia="仿宋_GB2312" w:hAnsi="宋体" w:cs="宋体"/>
          <w:color w:val="FF0000"/>
          <w:kern w:val="0"/>
          <w:sz w:val="24"/>
          <w:szCs w:val="24"/>
        </w:rPr>
      </w:pPr>
      <w:r>
        <w:rPr>
          <w:rFonts w:ascii="仿宋_GB2312" w:eastAsia="仿宋_GB2312" w:hAnsi="宋体" w:cs="宋体" w:hint="eastAsia"/>
          <w:kern w:val="0"/>
          <w:sz w:val="24"/>
          <w:szCs w:val="24"/>
        </w:rPr>
        <w:lastRenderedPageBreak/>
        <w:t>（二）</w:t>
      </w:r>
      <w:bookmarkStart w:id="14" w:name="_Hlk57102417"/>
      <w:bookmarkStart w:id="15" w:name="_Hlk56420764"/>
      <w:r>
        <w:rPr>
          <w:rFonts w:ascii="仿宋_GB2312" w:eastAsia="仿宋_GB2312" w:hAnsi="宋体" w:cs="宋体" w:hint="eastAsia"/>
          <w:kern w:val="0"/>
          <w:sz w:val="24"/>
          <w:szCs w:val="24"/>
        </w:rPr>
        <w:t>前期已进行地块开发细则交通影响评价、城市更新单元规划交通影响评价或规划条件论证报告交通影响评价，</w:t>
      </w:r>
      <w:proofErr w:type="gramStart"/>
      <w:r>
        <w:rPr>
          <w:rFonts w:ascii="仿宋_GB2312" w:eastAsia="仿宋_GB2312" w:hAnsi="宋体" w:cs="宋体" w:hint="eastAsia"/>
          <w:kern w:val="0"/>
          <w:sz w:val="24"/>
          <w:szCs w:val="24"/>
        </w:rPr>
        <w:t>且报告</w:t>
      </w:r>
      <w:proofErr w:type="gramEnd"/>
      <w:r>
        <w:rPr>
          <w:rFonts w:ascii="仿宋_GB2312" w:eastAsia="仿宋_GB2312" w:hAnsi="宋体" w:cs="宋体" w:hint="eastAsia"/>
          <w:kern w:val="0"/>
          <w:sz w:val="24"/>
          <w:szCs w:val="24"/>
        </w:rPr>
        <w:t>明确要求开展建设项目交通影响评价的项目</w:t>
      </w:r>
      <w:bookmarkEnd w:id="14"/>
      <w:r>
        <w:rPr>
          <w:rFonts w:ascii="仿宋_GB2312" w:eastAsia="仿宋_GB2312" w:hAnsi="宋体" w:cs="宋体" w:hint="eastAsia"/>
          <w:kern w:val="0"/>
          <w:sz w:val="24"/>
          <w:szCs w:val="24"/>
        </w:rPr>
        <w:t>；</w:t>
      </w:r>
      <w:bookmarkEnd w:id="15"/>
    </w:p>
    <w:p w14:paraId="62E004F0" w14:textId="3CBE1F35" w:rsidR="00FA60D0" w:rsidRDefault="00AB72F9">
      <w:pPr>
        <w:widowControl/>
        <w:shd w:val="clear" w:color="auto" w:fill="FFFFFF"/>
        <w:snapToGrid w:val="0"/>
        <w:spacing w:line="560" w:lineRule="exact"/>
        <w:ind w:firstLine="641"/>
        <w:jc w:val="left"/>
        <w:rPr>
          <w:rFonts w:ascii="仿宋_GB2312" w:eastAsia="仿宋_GB2312" w:hAnsi="宋体" w:cs="宋体"/>
          <w:kern w:val="0"/>
          <w:sz w:val="27"/>
          <w:szCs w:val="27"/>
        </w:rPr>
      </w:pPr>
      <w:r>
        <w:rPr>
          <w:rFonts w:ascii="仿宋_GB2312" w:eastAsia="仿宋_GB2312" w:hAnsi="宋体" w:cs="宋体" w:hint="eastAsia"/>
          <w:kern w:val="0"/>
          <w:sz w:val="24"/>
          <w:szCs w:val="24"/>
        </w:rPr>
        <w:t>（三）</w:t>
      </w:r>
      <w:bookmarkStart w:id="16" w:name="_Hlk56420770"/>
      <w:r>
        <w:rPr>
          <w:rFonts w:ascii="仿宋_GB2312" w:eastAsia="仿宋_GB2312" w:hAnsi="宋体" w:cs="宋体" w:hint="eastAsia"/>
          <w:kern w:val="0"/>
          <w:sz w:val="24"/>
          <w:szCs w:val="24"/>
        </w:rPr>
        <w:t>前期未进行</w:t>
      </w:r>
      <w:r w:rsidR="00920B93">
        <w:rPr>
          <w:rFonts w:ascii="仿宋_GB2312" w:eastAsia="仿宋_GB2312" w:hAnsi="宋体" w:cs="宋体" w:hint="eastAsia"/>
          <w:kern w:val="0"/>
          <w:sz w:val="24"/>
          <w:szCs w:val="24"/>
        </w:rPr>
        <w:t>地块开发细则交通影响评价、城市更新单元规划交通影响评价或规划条件论证报告交通影响评价</w:t>
      </w:r>
      <w:r>
        <w:rPr>
          <w:rFonts w:ascii="仿宋_GB2312" w:eastAsia="仿宋_GB2312" w:hAnsi="宋体" w:cs="宋体" w:hint="eastAsia"/>
          <w:kern w:val="0"/>
          <w:sz w:val="24"/>
          <w:szCs w:val="24"/>
        </w:rPr>
        <w:t>，且满足表1启动阈值的项目</w:t>
      </w:r>
      <w:bookmarkEnd w:id="16"/>
      <w:r>
        <w:rPr>
          <w:rFonts w:ascii="仿宋_GB2312" w:eastAsia="仿宋_GB2312" w:hAnsi="宋体" w:cs="宋体" w:hint="eastAsia"/>
          <w:kern w:val="0"/>
          <w:sz w:val="24"/>
          <w:szCs w:val="24"/>
        </w:rPr>
        <w:t>；</w:t>
      </w:r>
    </w:p>
    <w:p w14:paraId="472A5F8D" w14:textId="77777777" w:rsidR="00FA60D0" w:rsidRDefault="00AB72F9">
      <w:pPr>
        <w:widowControl/>
        <w:shd w:val="clear" w:color="auto" w:fill="FFFFFF"/>
        <w:snapToGrid w:val="0"/>
        <w:spacing w:line="560" w:lineRule="exact"/>
        <w:ind w:firstLine="641"/>
        <w:jc w:val="left"/>
        <w:rPr>
          <w:rFonts w:ascii="仿宋_GB2312" w:eastAsia="仿宋_GB2312" w:hAnsi="宋体" w:cs="宋体"/>
          <w:kern w:val="0"/>
          <w:sz w:val="27"/>
          <w:szCs w:val="27"/>
        </w:rPr>
      </w:pPr>
      <w:r>
        <w:rPr>
          <w:rFonts w:ascii="仿宋_GB2312" w:eastAsia="仿宋_GB2312" w:hAnsi="宋体" w:cs="宋体" w:hint="eastAsia"/>
          <w:kern w:val="0"/>
          <w:sz w:val="24"/>
          <w:szCs w:val="24"/>
        </w:rPr>
        <w:t>（四）</w:t>
      </w:r>
      <w:bookmarkStart w:id="17" w:name="_Hlk73527251"/>
      <w:r>
        <w:rPr>
          <w:rFonts w:ascii="仿宋_GB2312" w:eastAsia="仿宋_GB2312" w:hAnsi="宋体" w:cs="宋体" w:hint="eastAsia"/>
          <w:kern w:val="0"/>
          <w:sz w:val="24"/>
          <w:szCs w:val="24"/>
        </w:rPr>
        <w:t>交通运输/自然资源部门认为需进行建设项目交通影响评价的其他项目</w:t>
      </w:r>
      <w:bookmarkEnd w:id="17"/>
      <w:r>
        <w:rPr>
          <w:rFonts w:ascii="仿宋_GB2312" w:eastAsia="仿宋_GB2312" w:hAnsi="宋体" w:cs="宋体" w:hint="eastAsia"/>
          <w:kern w:val="0"/>
          <w:sz w:val="24"/>
          <w:szCs w:val="24"/>
        </w:rPr>
        <w:t>。</w:t>
      </w:r>
    </w:p>
    <w:p w14:paraId="3FA0816F" w14:textId="6EED511A" w:rsidR="00FA60D0" w:rsidRDefault="00AB72F9">
      <w:pPr>
        <w:widowControl/>
        <w:shd w:val="clear" w:color="auto" w:fill="FFFFFF"/>
        <w:snapToGrid w:val="0"/>
        <w:spacing w:line="560" w:lineRule="exact"/>
        <w:ind w:firstLine="641"/>
        <w:rPr>
          <w:rFonts w:ascii="仿宋_GB2312" w:eastAsia="仿宋_GB2312" w:hAnsi="宋体" w:cs="宋体"/>
          <w:kern w:val="0"/>
          <w:sz w:val="24"/>
          <w:szCs w:val="24"/>
        </w:rPr>
      </w:pPr>
      <w:r>
        <w:rPr>
          <w:rFonts w:ascii="黑体" w:eastAsia="黑体" w:hAnsi="黑体" w:cs="宋体" w:hint="eastAsia"/>
          <w:b/>
          <w:bCs/>
          <w:kern w:val="0"/>
          <w:sz w:val="24"/>
          <w:szCs w:val="24"/>
        </w:rPr>
        <w:t>第十二条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建设项目</w:t>
      </w:r>
      <w:r w:rsidR="00011C34">
        <w:rPr>
          <w:rFonts w:ascii="仿宋_GB2312" w:eastAsia="仿宋_GB2312" w:hAnsi="宋体" w:cs="宋体" w:hint="eastAsia"/>
          <w:kern w:val="0"/>
          <w:sz w:val="24"/>
          <w:szCs w:val="24"/>
        </w:rPr>
        <w:t>的</w:t>
      </w:r>
      <w:r>
        <w:rPr>
          <w:rFonts w:ascii="仿宋_GB2312" w:eastAsia="仿宋_GB2312" w:hAnsi="宋体" w:cs="宋体" w:hint="eastAsia"/>
          <w:kern w:val="0"/>
          <w:sz w:val="24"/>
          <w:szCs w:val="24"/>
        </w:rPr>
        <w:t>交通影响评价</w:t>
      </w:r>
      <w:r w:rsidR="00011C34">
        <w:rPr>
          <w:rFonts w:ascii="仿宋_GB2312" w:eastAsia="仿宋_GB2312" w:hAnsi="宋体" w:cs="宋体" w:hint="eastAsia"/>
          <w:kern w:val="0"/>
          <w:sz w:val="24"/>
          <w:szCs w:val="24"/>
        </w:rPr>
        <w:t>报告</w:t>
      </w:r>
      <w:r>
        <w:rPr>
          <w:rFonts w:ascii="仿宋_GB2312" w:eastAsia="仿宋_GB2312" w:hAnsi="宋体" w:cs="宋体" w:hint="eastAsia"/>
          <w:kern w:val="0"/>
          <w:sz w:val="24"/>
          <w:szCs w:val="24"/>
        </w:rPr>
        <w:t>由建设项目业主单位组织编制。建设项目业主单位在向自然资源部门报审建设工程设计方案时，应当提交建设项目交通影响评价报告及</w:t>
      </w:r>
      <w:r w:rsidR="00BF2D55">
        <w:rPr>
          <w:rFonts w:ascii="仿宋_GB2312" w:eastAsia="仿宋_GB2312" w:hAnsi="宋体" w:cs="宋体" w:hint="eastAsia"/>
          <w:kern w:val="0"/>
          <w:sz w:val="24"/>
          <w:szCs w:val="24"/>
        </w:rPr>
        <w:t>专家</w:t>
      </w:r>
      <w:r>
        <w:rPr>
          <w:rFonts w:ascii="仿宋_GB2312" w:eastAsia="仿宋_GB2312" w:hAnsi="宋体" w:cs="宋体" w:hint="eastAsia"/>
          <w:kern w:val="0"/>
          <w:sz w:val="24"/>
          <w:szCs w:val="24"/>
        </w:rPr>
        <w:t>评审意见。</w:t>
      </w:r>
    </w:p>
    <w:p w14:paraId="0B9257AB" w14:textId="12F168F7" w:rsidR="00FA60D0" w:rsidRDefault="00AB72F9">
      <w:pPr>
        <w:widowControl/>
        <w:shd w:val="clear" w:color="auto" w:fill="FFFFFF"/>
        <w:snapToGrid w:val="0"/>
        <w:spacing w:line="560" w:lineRule="exact"/>
        <w:ind w:firstLine="641"/>
        <w:jc w:val="left"/>
        <w:rPr>
          <w:rFonts w:ascii="仿宋_GB2312" w:eastAsia="仿宋_GB2312" w:hAnsi="宋体" w:cs="宋体"/>
          <w:kern w:val="0"/>
          <w:sz w:val="27"/>
          <w:szCs w:val="27"/>
        </w:rPr>
      </w:pPr>
      <w:r>
        <w:rPr>
          <w:rFonts w:ascii="黑体" w:eastAsia="黑体" w:hAnsi="黑体" w:cs="宋体" w:hint="eastAsia"/>
          <w:b/>
          <w:bCs/>
          <w:kern w:val="0"/>
          <w:sz w:val="24"/>
          <w:szCs w:val="24"/>
        </w:rPr>
        <w:t>第十三条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建设项目</w:t>
      </w:r>
      <w:r w:rsidR="007C03CA">
        <w:rPr>
          <w:rFonts w:ascii="仿宋_GB2312" w:eastAsia="仿宋_GB2312" w:hAnsi="宋体" w:cs="宋体" w:hint="eastAsia"/>
          <w:kern w:val="0"/>
          <w:sz w:val="24"/>
          <w:szCs w:val="24"/>
        </w:rPr>
        <w:t>的</w:t>
      </w:r>
      <w:r>
        <w:rPr>
          <w:rFonts w:ascii="仿宋_GB2312" w:eastAsia="仿宋_GB2312" w:hAnsi="宋体" w:cs="宋体" w:hint="eastAsia"/>
          <w:kern w:val="0"/>
          <w:sz w:val="24"/>
          <w:szCs w:val="24"/>
        </w:rPr>
        <w:t>交通影响评价报告</w:t>
      </w:r>
      <w:r w:rsidR="007C03CA">
        <w:rPr>
          <w:rFonts w:ascii="仿宋_GB2312" w:eastAsia="仿宋_GB2312" w:hAnsi="宋体" w:cs="宋体" w:hint="eastAsia"/>
          <w:kern w:val="0"/>
          <w:sz w:val="24"/>
          <w:szCs w:val="24"/>
        </w:rPr>
        <w:t>成果</w:t>
      </w:r>
      <w:r>
        <w:rPr>
          <w:rFonts w:ascii="仿宋_GB2312" w:eastAsia="仿宋_GB2312" w:hAnsi="宋体" w:cs="宋体" w:hint="eastAsia"/>
          <w:kern w:val="0"/>
          <w:sz w:val="24"/>
          <w:szCs w:val="24"/>
        </w:rPr>
        <w:t>内容和深度应符合</w:t>
      </w:r>
      <w:r w:rsidR="007C03CA">
        <w:rPr>
          <w:rFonts w:ascii="仿宋_GB2312" w:eastAsia="仿宋_GB2312" w:hAnsi="宋体" w:cs="宋体" w:hint="eastAsia"/>
          <w:kern w:val="0"/>
          <w:sz w:val="24"/>
          <w:szCs w:val="24"/>
        </w:rPr>
        <w:t>《佛山市交通影响评价技术指引》，并应参照</w:t>
      </w:r>
      <w:r>
        <w:rPr>
          <w:rFonts w:ascii="仿宋_GB2312" w:eastAsia="仿宋_GB2312" w:hAnsi="宋体" w:cs="宋体" w:hint="eastAsia"/>
          <w:kern w:val="0"/>
          <w:sz w:val="24"/>
          <w:szCs w:val="24"/>
        </w:rPr>
        <w:t>《建设项目交通影响评价技术标准》的有关规定</w:t>
      </w:r>
      <w:r w:rsidR="007C03CA">
        <w:rPr>
          <w:rFonts w:ascii="仿宋_GB2312" w:eastAsia="仿宋_GB2312" w:hAnsi="宋体" w:cs="宋体" w:hint="eastAsia"/>
          <w:kern w:val="0"/>
          <w:sz w:val="24"/>
          <w:szCs w:val="24"/>
        </w:rPr>
        <w:t>执行</w:t>
      </w:r>
      <w:r>
        <w:rPr>
          <w:rFonts w:ascii="仿宋_GB2312" w:eastAsia="仿宋_GB2312" w:hAnsi="宋体" w:cs="宋体" w:hint="eastAsia"/>
          <w:kern w:val="0"/>
          <w:sz w:val="24"/>
          <w:szCs w:val="24"/>
        </w:rPr>
        <w:t>。</w:t>
      </w:r>
    </w:p>
    <w:p w14:paraId="0839F485" w14:textId="6F40C904" w:rsidR="00FA60D0" w:rsidRDefault="00AB72F9">
      <w:pPr>
        <w:widowControl/>
        <w:shd w:val="clear" w:color="auto" w:fill="FFFFFF"/>
        <w:snapToGrid w:val="0"/>
        <w:spacing w:line="560" w:lineRule="exact"/>
        <w:ind w:firstLine="641"/>
        <w:rPr>
          <w:rFonts w:ascii="仿宋_GB2312" w:eastAsia="仿宋_GB2312" w:hAnsi="宋体" w:cs="宋体"/>
          <w:kern w:val="0"/>
          <w:sz w:val="24"/>
          <w:szCs w:val="24"/>
        </w:rPr>
      </w:pPr>
      <w:r w:rsidRPr="00011C34">
        <w:rPr>
          <w:rFonts w:ascii="黑体" w:eastAsia="黑体" w:hAnsi="黑体" w:cs="宋体" w:hint="eastAsia"/>
          <w:b/>
          <w:bCs/>
          <w:kern w:val="0"/>
          <w:sz w:val="24"/>
          <w:szCs w:val="24"/>
        </w:rPr>
        <w:t>第十四条</w:t>
      </w:r>
      <w:r w:rsidRPr="00BF17E3">
        <w:rPr>
          <w:rFonts w:ascii="仿宋_GB2312" w:eastAsia="仿宋_GB2312" w:hAnsi="宋体" w:cs="宋体"/>
          <w:kern w:val="0"/>
          <w:sz w:val="24"/>
          <w:szCs w:val="24"/>
        </w:rPr>
        <w:t xml:space="preserve">  </w:t>
      </w:r>
      <w:r w:rsidRPr="00011C34">
        <w:rPr>
          <w:rFonts w:ascii="仿宋_GB2312" w:eastAsia="仿宋_GB2312" w:hAnsi="宋体" w:cs="宋体" w:hint="eastAsia"/>
          <w:kern w:val="0"/>
          <w:sz w:val="24"/>
          <w:szCs w:val="24"/>
        </w:rPr>
        <w:t>建设项目</w:t>
      </w:r>
      <w:r w:rsidR="00011C34">
        <w:rPr>
          <w:rFonts w:ascii="仿宋_GB2312" w:eastAsia="仿宋_GB2312" w:hAnsi="宋体" w:cs="宋体" w:hint="eastAsia"/>
          <w:kern w:val="0"/>
          <w:sz w:val="24"/>
          <w:szCs w:val="24"/>
        </w:rPr>
        <w:t>的</w:t>
      </w:r>
      <w:r w:rsidRPr="00011C34">
        <w:rPr>
          <w:rFonts w:ascii="仿宋_GB2312" w:eastAsia="仿宋_GB2312" w:hAnsi="宋体" w:cs="宋体" w:hint="eastAsia"/>
          <w:kern w:val="0"/>
          <w:sz w:val="24"/>
          <w:szCs w:val="24"/>
        </w:rPr>
        <w:t>交通影响评价报告编制完成后，由交通运输部门组织</w:t>
      </w:r>
      <w:r w:rsidR="00BF2D55">
        <w:rPr>
          <w:rFonts w:ascii="仿宋_GB2312" w:eastAsia="仿宋_GB2312" w:hAnsi="宋体" w:cs="宋体" w:hint="eastAsia"/>
          <w:kern w:val="0"/>
          <w:sz w:val="24"/>
          <w:szCs w:val="24"/>
        </w:rPr>
        <w:t>技术初审、专家评审</w:t>
      </w:r>
      <w:r w:rsidRPr="00011C34">
        <w:rPr>
          <w:rFonts w:ascii="仿宋_GB2312" w:eastAsia="仿宋_GB2312" w:hAnsi="宋体" w:cs="宋体" w:hint="eastAsia"/>
          <w:kern w:val="0"/>
          <w:sz w:val="24"/>
          <w:szCs w:val="24"/>
        </w:rPr>
        <w:t>。</w:t>
      </w:r>
    </w:p>
    <w:p w14:paraId="1959855E" w14:textId="5E7979B4" w:rsidR="00FA60D0" w:rsidRDefault="00AB72F9" w:rsidP="00BF17E3">
      <w:pPr>
        <w:widowControl/>
        <w:shd w:val="clear" w:color="auto" w:fill="FFFFFF"/>
        <w:snapToGrid w:val="0"/>
        <w:spacing w:line="560" w:lineRule="exact"/>
        <w:ind w:firstLine="641"/>
        <w:rPr>
          <w:rFonts w:ascii="仿宋_GB2312" w:eastAsia="仿宋_GB2312" w:hAnsi="宋体" w:cs="宋体"/>
          <w:kern w:val="0"/>
          <w:sz w:val="27"/>
          <w:szCs w:val="27"/>
        </w:rPr>
      </w:pPr>
      <w:r>
        <w:rPr>
          <w:rFonts w:ascii="黑体" w:eastAsia="黑体" w:hAnsi="黑体" w:cs="宋体" w:hint="eastAsia"/>
          <w:b/>
          <w:bCs/>
          <w:kern w:val="0"/>
          <w:sz w:val="24"/>
          <w:szCs w:val="24"/>
        </w:rPr>
        <w:t>第十五条</w:t>
      </w:r>
      <w:bookmarkStart w:id="18" w:name="_Hlk57102469"/>
      <w:bookmarkStart w:id="19" w:name="_Hlk73527271"/>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建设项目</w:t>
      </w:r>
      <w:r w:rsidR="00011C34">
        <w:rPr>
          <w:rFonts w:ascii="仿宋_GB2312" w:eastAsia="仿宋_GB2312" w:hAnsi="宋体" w:cs="宋体" w:hint="eastAsia"/>
          <w:kern w:val="0"/>
          <w:sz w:val="24"/>
          <w:szCs w:val="24"/>
        </w:rPr>
        <w:t>的</w:t>
      </w:r>
      <w:r>
        <w:rPr>
          <w:rFonts w:ascii="仿宋_GB2312" w:eastAsia="仿宋_GB2312" w:hAnsi="宋体" w:cs="宋体" w:hint="eastAsia"/>
          <w:kern w:val="0"/>
          <w:sz w:val="24"/>
          <w:szCs w:val="24"/>
        </w:rPr>
        <w:t>交通影响评价</w:t>
      </w:r>
      <w:r w:rsidR="00011C34">
        <w:rPr>
          <w:rFonts w:ascii="仿宋_GB2312" w:eastAsia="仿宋_GB2312" w:hAnsi="宋体" w:cs="宋体" w:hint="eastAsia"/>
          <w:kern w:val="0"/>
          <w:sz w:val="24"/>
          <w:szCs w:val="24"/>
        </w:rPr>
        <w:t>报告</w:t>
      </w:r>
      <w:r>
        <w:rPr>
          <w:rFonts w:ascii="仿宋_GB2312" w:eastAsia="仿宋_GB2312" w:hAnsi="宋体" w:cs="宋体" w:hint="eastAsia"/>
          <w:kern w:val="0"/>
          <w:sz w:val="24"/>
          <w:szCs w:val="24"/>
        </w:rPr>
        <w:t>是项目建设工程设计方案审批的重要依据</w:t>
      </w:r>
      <w:bookmarkStart w:id="20" w:name="_Hlk54251699"/>
      <w:r>
        <w:rPr>
          <w:rFonts w:ascii="仿宋_GB2312" w:eastAsia="仿宋_GB2312" w:hAnsi="宋体" w:cs="宋体" w:hint="eastAsia"/>
          <w:kern w:val="0"/>
          <w:sz w:val="24"/>
          <w:szCs w:val="24"/>
        </w:rPr>
        <w:t>。</w:t>
      </w:r>
      <w:bookmarkStart w:id="21" w:name="_Hlk56420812"/>
      <w:bookmarkStart w:id="22" w:name="_Hlk56423058"/>
      <w:bookmarkEnd w:id="20"/>
      <w:r>
        <w:rPr>
          <w:rFonts w:ascii="仿宋_GB2312" w:eastAsia="仿宋_GB2312" w:hAnsi="宋体" w:cs="宋体" w:hint="eastAsia"/>
          <w:kern w:val="0"/>
          <w:sz w:val="24"/>
          <w:szCs w:val="24"/>
        </w:rPr>
        <w:t>交通影响评价报告提出的项目红线范围内改善措施，</w:t>
      </w:r>
      <w:bookmarkEnd w:id="21"/>
      <w:r>
        <w:rPr>
          <w:rFonts w:ascii="仿宋_GB2312" w:eastAsia="仿宋_GB2312" w:hAnsi="宋体" w:cs="宋体" w:hint="eastAsia"/>
          <w:kern w:val="0"/>
          <w:sz w:val="24"/>
          <w:szCs w:val="24"/>
        </w:rPr>
        <w:t>应落实到项目建设工程设计方案中，</w:t>
      </w:r>
      <w:bookmarkEnd w:id="22"/>
      <w:r>
        <w:rPr>
          <w:rFonts w:ascii="仿宋_GB2312" w:eastAsia="仿宋_GB2312" w:hAnsi="宋体" w:cs="宋体" w:hint="eastAsia"/>
          <w:kern w:val="0"/>
          <w:sz w:val="24"/>
          <w:szCs w:val="24"/>
        </w:rPr>
        <w:t>由建设项目业主单位在项目建设时同步实施，各职能部门在项目竣工验收或联合验收时按各自职责核实；其他改善措施作为交通运输、公安交警、轨道交通部门编制片区交通规划、制定交通改善方案的依据</w:t>
      </w:r>
      <w:bookmarkEnd w:id="18"/>
      <w:bookmarkEnd w:id="19"/>
      <w:r>
        <w:rPr>
          <w:rFonts w:ascii="仿宋_GB2312" w:eastAsia="仿宋_GB2312" w:hAnsi="宋体" w:cs="宋体" w:hint="eastAsia"/>
          <w:kern w:val="0"/>
          <w:sz w:val="24"/>
          <w:szCs w:val="24"/>
        </w:rPr>
        <w:t>。</w:t>
      </w:r>
    </w:p>
    <w:p w14:paraId="62C2DA42" w14:textId="77777777" w:rsidR="00FA60D0" w:rsidRDefault="00FA60D0">
      <w:pPr>
        <w:widowControl/>
        <w:shd w:val="clear" w:color="auto" w:fill="FFFFFF"/>
        <w:snapToGrid w:val="0"/>
        <w:spacing w:line="520" w:lineRule="exact"/>
        <w:jc w:val="center"/>
        <w:rPr>
          <w:rFonts w:ascii="黑体" w:eastAsia="黑体" w:hAnsi="黑体" w:cs="宋体"/>
          <w:b/>
          <w:bCs/>
          <w:kern w:val="0"/>
          <w:sz w:val="32"/>
          <w:szCs w:val="32"/>
        </w:rPr>
      </w:pPr>
    </w:p>
    <w:p w14:paraId="683BF163" w14:textId="77777777" w:rsidR="00FA60D0" w:rsidRDefault="00AB72F9">
      <w:pPr>
        <w:widowControl/>
        <w:shd w:val="clear" w:color="auto" w:fill="FFFFFF"/>
        <w:snapToGrid w:val="0"/>
        <w:spacing w:line="520" w:lineRule="exact"/>
        <w:jc w:val="center"/>
        <w:rPr>
          <w:rFonts w:ascii="黑体" w:eastAsia="黑体" w:hAnsi="黑体" w:cs="宋体"/>
          <w:b/>
          <w:bCs/>
          <w:kern w:val="0"/>
          <w:sz w:val="32"/>
          <w:szCs w:val="32"/>
        </w:rPr>
      </w:pPr>
      <w:r>
        <w:rPr>
          <w:rFonts w:ascii="黑体" w:eastAsia="黑体" w:hAnsi="黑体" w:cs="宋体" w:hint="eastAsia"/>
          <w:b/>
          <w:bCs/>
          <w:kern w:val="0"/>
          <w:sz w:val="32"/>
          <w:szCs w:val="32"/>
        </w:rPr>
        <w:t>第四章</w:t>
      </w:r>
      <w:r>
        <w:rPr>
          <w:rFonts w:ascii="Calibri" w:eastAsia="黑体" w:hAnsi="Calibri" w:cs="Calibri"/>
          <w:b/>
          <w:bCs/>
          <w:kern w:val="0"/>
          <w:sz w:val="32"/>
          <w:szCs w:val="32"/>
        </w:rPr>
        <w:t xml:space="preserve">   </w:t>
      </w:r>
      <w:bookmarkStart w:id="23" w:name="_Hlk71211464"/>
      <w:r>
        <w:rPr>
          <w:rFonts w:ascii="Calibri" w:eastAsia="黑体" w:hAnsi="Calibri" w:cs="Calibri" w:hint="eastAsia"/>
          <w:b/>
          <w:bCs/>
          <w:kern w:val="0"/>
          <w:sz w:val="32"/>
          <w:szCs w:val="32"/>
        </w:rPr>
        <w:t>其</w:t>
      </w:r>
      <w:r>
        <w:rPr>
          <w:rFonts w:ascii="Calibri" w:eastAsia="黑体" w:hAnsi="Calibri" w:cs="Calibri"/>
          <w:b/>
          <w:bCs/>
          <w:kern w:val="0"/>
          <w:sz w:val="32"/>
          <w:szCs w:val="32"/>
        </w:rPr>
        <w:t>他管理</w:t>
      </w:r>
      <w:r>
        <w:rPr>
          <w:rFonts w:ascii="Calibri" w:eastAsia="黑体" w:hAnsi="Calibri" w:cs="Calibri" w:hint="eastAsia"/>
          <w:b/>
          <w:bCs/>
          <w:kern w:val="0"/>
          <w:sz w:val="32"/>
          <w:szCs w:val="32"/>
        </w:rPr>
        <w:t>规定</w:t>
      </w:r>
      <w:bookmarkEnd w:id="23"/>
    </w:p>
    <w:p w14:paraId="5EA853E1" w14:textId="2206AB29" w:rsidR="00FA60D0" w:rsidRDefault="00AB72F9">
      <w:pPr>
        <w:widowControl/>
        <w:shd w:val="clear" w:color="auto" w:fill="FFFFFF"/>
        <w:snapToGrid w:val="0"/>
        <w:spacing w:line="520" w:lineRule="exact"/>
        <w:ind w:firstLine="640"/>
        <w:jc w:val="left"/>
        <w:rPr>
          <w:rFonts w:ascii="仿宋_GB2312" w:eastAsia="仿宋_GB2312" w:hAnsi="宋体" w:cs="宋体"/>
          <w:kern w:val="0"/>
          <w:sz w:val="24"/>
          <w:szCs w:val="24"/>
        </w:rPr>
      </w:pPr>
      <w:r>
        <w:rPr>
          <w:rFonts w:ascii="黑体" w:eastAsia="黑体" w:hAnsi="黑体" w:cs="宋体" w:hint="eastAsia"/>
          <w:b/>
          <w:bCs/>
          <w:kern w:val="0"/>
          <w:sz w:val="24"/>
          <w:szCs w:val="24"/>
        </w:rPr>
        <w:t>第十六条</w:t>
      </w:r>
      <w:bookmarkStart w:id="24" w:name="_Hlk56424671"/>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为保证交通影响评价报告编制质量，</w:t>
      </w:r>
      <w:bookmarkStart w:id="25" w:name="_Hlk57103027"/>
      <w:bookmarkStart w:id="26" w:name="_Hlk56441028"/>
      <w:r>
        <w:rPr>
          <w:rFonts w:ascii="仿宋_GB2312" w:eastAsia="仿宋_GB2312" w:hAnsi="宋体" w:cs="宋体" w:hint="eastAsia"/>
          <w:kern w:val="0"/>
          <w:sz w:val="24"/>
          <w:szCs w:val="24"/>
        </w:rPr>
        <w:t>审查部门</w:t>
      </w:r>
      <w:bookmarkEnd w:id="25"/>
      <w:r>
        <w:rPr>
          <w:rFonts w:ascii="仿宋_GB2312" w:eastAsia="仿宋_GB2312" w:hAnsi="宋体" w:cs="宋体" w:hint="eastAsia"/>
          <w:kern w:val="0"/>
          <w:sz w:val="24"/>
          <w:szCs w:val="24"/>
        </w:rPr>
        <w:t>可委托</w:t>
      </w:r>
      <w:bookmarkStart w:id="27" w:name="_Hlk56430111"/>
      <w:r>
        <w:rPr>
          <w:rFonts w:ascii="仿宋_GB2312" w:eastAsia="仿宋_GB2312" w:hAnsi="宋体" w:cs="宋体" w:hint="eastAsia"/>
          <w:kern w:val="0"/>
          <w:sz w:val="24"/>
          <w:szCs w:val="24"/>
        </w:rPr>
        <w:t>第三方技术机构</w:t>
      </w:r>
      <w:bookmarkEnd w:id="27"/>
      <w:r>
        <w:rPr>
          <w:rFonts w:ascii="仿宋_GB2312" w:eastAsia="仿宋_GB2312" w:hAnsi="宋体" w:cs="宋体" w:hint="eastAsia"/>
          <w:kern w:val="0"/>
          <w:sz w:val="24"/>
          <w:szCs w:val="24"/>
        </w:rPr>
        <w:t>协助开展交通影响评价审查</w:t>
      </w:r>
      <w:bookmarkEnd w:id="26"/>
      <w:r>
        <w:rPr>
          <w:rFonts w:ascii="仿宋_GB2312" w:eastAsia="仿宋_GB2312" w:hAnsi="宋体" w:cs="宋体" w:hint="eastAsia"/>
          <w:kern w:val="0"/>
          <w:sz w:val="24"/>
          <w:szCs w:val="24"/>
        </w:rPr>
        <w:t>。</w:t>
      </w:r>
    </w:p>
    <w:p w14:paraId="7AA6D4AC" w14:textId="2458959D" w:rsidR="00FA60D0" w:rsidRDefault="00AB72F9" w:rsidP="00BF17E3">
      <w:pPr>
        <w:widowControl/>
        <w:shd w:val="clear" w:color="auto" w:fill="FFFFFF"/>
        <w:snapToGrid w:val="0"/>
        <w:spacing w:line="520" w:lineRule="exact"/>
        <w:ind w:firstLine="640"/>
        <w:rPr>
          <w:rFonts w:ascii="仿宋_GB2312" w:eastAsia="仿宋_GB2312" w:hAnsi="宋体" w:cs="宋体"/>
          <w:kern w:val="0"/>
          <w:sz w:val="24"/>
          <w:szCs w:val="24"/>
        </w:rPr>
      </w:pPr>
      <w:r>
        <w:rPr>
          <w:rFonts w:ascii="黑体" w:eastAsia="黑体" w:hAnsi="黑体" w:cs="宋体" w:hint="eastAsia"/>
          <w:b/>
          <w:bCs/>
          <w:kern w:val="0"/>
          <w:sz w:val="24"/>
          <w:szCs w:val="24"/>
        </w:rPr>
        <w:lastRenderedPageBreak/>
        <w:t>第十七条</w:t>
      </w:r>
      <w:bookmarkEnd w:id="24"/>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市、区两级人民政府应当根据实际工作需要将城乡规划交通影响评价</w:t>
      </w:r>
      <w:r w:rsidR="00C47A6A">
        <w:rPr>
          <w:rFonts w:ascii="仿宋_GB2312" w:eastAsia="仿宋_GB2312" w:hAnsi="宋体" w:cs="宋体" w:hint="eastAsia"/>
          <w:kern w:val="0"/>
          <w:sz w:val="24"/>
          <w:szCs w:val="24"/>
        </w:rPr>
        <w:t>报告</w:t>
      </w:r>
      <w:r>
        <w:rPr>
          <w:rFonts w:ascii="仿宋_GB2312" w:eastAsia="仿宋_GB2312" w:hAnsi="宋体" w:cs="宋体" w:hint="eastAsia"/>
          <w:kern w:val="0"/>
          <w:sz w:val="24"/>
          <w:szCs w:val="24"/>
        </w:rPr>
        <w:t>的编制经费</w:t>
      </w:r>
      <w:bookmarkStart w:id="28" w:name="_Hlk57103040"/>
      <w:r w:rsidR="00011C34">
        <w:rPr>
          <w:rFonts w:ascii="仿宋_GB2312" w:eastAsia="仿宋_GB2312" w:hAnsi="宋体" w:cs="宋体" w:hint="eastAsia"/>
          <w:kern w:val="0"/>
          <w:sz w:val="24"/>
          <w:szCs w:val="24"/>
        </w:rPr>
        <w:t>以及交通影响评价报告</w:t>
      </w:r>
      <w:r>
        <w:rPr>
          <w:rFonts w:ascii="仿宋_GB2312" w:eastAsia="仿宋_GB2312" w:hAnsi="宋体" w:cs="宋体" w:hint="eastAsia"/>
          <w:kern w:val="0"/>
          <w:sz w:val="24"/>
          <w:szCs w:val="24"/>
        </w:rPr>
        <w:t>委托第三方技术机构协助审查经费</w:t>
      </w:r>
      <w:bookmarkEnd w:id="28"/>
      <w:r>
        <w:rPr>
          <w:rFonts w:ascii="仿宋_GB2312" w:eastAsia="仿宋_GB2312" w:hAnsi="宋体" w:cs="宋体" w:hint="eastAsia"/>
          <w:kern w:val="0"/>
          <w:sz w:val="24"/>
          <w:szCs w:val="24"/>
        </w:rPr>
        <w:t>、专家评审费足额纳入本级人民政府的财政预算。</w:t>
      </w:r>
    </w:p>
    <w:p w14:paraId="6D39C6F0" w14:textId="698CC6CB" w:rsidR="00FA60D0" w:rsidRDefault="00AB72F9" w:rsidP="00BF17E3">
      <w:pPr>
        <w:widowControl/>
        <w:shd w:val="clear" w:color="auto" w:fill="FFFFFF"/>
        <w:snapToGrid w:val="0"/>
        <w:spacing w:line="520" w:lineRule="exact"/>
        <w:ind w:firstLine="640"/>
        <w:rPr>
          <w:rFonts w:ascii="仿宋_GB2312" w:eastAsia="仿宋_GB2312" w:hAnsi="宋体" w:cs="宋体"/>
          <w:kern w:val="0"/>
          <w:sz w:val="27"/>
          <w:szCs w:val="27"/>
        </w:rPr>
      </w:pPr>
      <w:r>
        <w:rPr>
          <w:rFonts w:ascii="黑体" w:eastAsia="黑体" w:hAnsi="黑体" w:cs="宋体" w:hint="eastAsia"/>
          <w:b/>
          <w:bCs/>
          <w:kern w:val="0"/>
          <w:sz w:val="24"/>
          <w:szCs w:val="24"/>
        </w:rPr>
        <w:t>第十八条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交通</w:t>
      </w:r>
      <w:r w:rsidR="00011C34">
        <w:rPr>
          <w:rFonts w:ascii="仿宋_GB2312" w:eastAsia="仿宋_GB2312" w:hAnsi="宋体" w:cs="宋体" w:hint="eastAsia"/>
          <w:kern w:val="0"/>
          <w:sz w:val="24"/>
          <w:szCs w:val="24"/>
        </w:rPr>
        <w:t>影响</w:t>
      </w:r>
      <w:r>
        <w:rPr>
          <w:rFonts w:ascii="仿宋_GB2312" w:eastAsia="仿宋_GB2312" w:hAnsi="宋体" w:cs="宋体" w:hint="eastAsia"/>
          <w:kern w:val="0"/>
          <w:sz w:val="24"/>
          <w:szCs w:val="24"/>
        </w:rPr>
        <w:t>评价报告编制单位应依法严格按照国家现行相关标准、规范以及《佛山交通影响评价技术指引》的要求开展交通影响评价报告编制工作，并保证报告数据及方法的客观性、科学性及改善措施的可行性。</w:t>
      </w:r>
    </w:p>
    <w:p w14:paraId="5C91DA26" w14:textId="3D55927F" w:rsidR="00FA60D0" w:rsidRDefault="00AB72F9">
      <w:pPr>
        <w:widowControl/>
        <w:shd w:val="clear" w:color="auto" w:fill="FFFFFF"/>
        <w:snapToGrid w:val="0"/>
        <w:spacing w:line="520" w:lineRule="exact"/>
        <w:ind w:firstLine="640"/>
        <w:jc w:val="left"/>
        <w:rPr>
          <w:rFonts w:ascii="黑体" w:eastAsia="黑体" w:hAnsi="黑体" w:cs="宋体"/>
          <w:b/>
          <w:bCs/>
          <w:kern w:val="0"/>
          <w:sz w:val="24"/>
          <w:szCs w:val="24"/>
        </w:rPr>
      </w:pPr>
      <w:r>
        <w:rPr>
          <w:rFonts w:ascii="黑体" w:eastAsia="黑体" w:hAnsi="黑体" w:cs="宋体" w:hint="eastAsia"/>
          <w:b/>
          <w:bCs/>
          <w:kern w:val="0"/>
          <w:sz w:val="24"/>
          <w:szCs w:val="24"/>
        </w:rPr>
        <w:t>第十九条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市交通运输主管部门组织建立交通影响评价交通专家库，不定期公开招纳评审专家。评审专家参与交通影响评价报告</w:t>
      </w:r>
      <w:r w:rsidR="00BF2D55">
        <w:rPr>
          <w:rFonts w:ascii="仿宋_GB2312" w:eastAsia="仿宋_GB2312" w:hAnsi="宋体" w:cs="宋体" w:hint="eastAsia"/>
          <w:kern w:val="0"/>
          <w:sz w:val="24"/>
          <w:szCs w:val="24"/>
        </w:rPr>
        <w:t>专家</w:t>
      </w:r>
      <w:r>
        <w:rPr>
          <w:rFonts w:ascii="仿宋_GB2312" w:eastAsia="仿宋_GB2312" w:hAnsi="宋体" w:cs="宋体" w:hint="eastAsia"/>
          <w:kern w:val="0"/>
          <w:sz w:val="24"/>
          <w:szCs w:val="24"/>
        </w:rPr>
        <w:t>评审工作应满足《佛山交通影响评价实施管理细则》的要求。</w:t>
      </w:r>
    </w:p>
    <w:p w14:paraId="626AD279" w14:textId="1594F410" w:rsidR="00FA60D0" w:rsidRDefault="00AB72F9" w:rsidP="00BF17E3">
      <w:pPr>
        <w:widowControl/>
        <w:shd w:val="clear" w:color="auto" w:fill="FFFFFF"/>
        <w:snapToGrid w:val="0"/>
        <w:spacing w:line="520" w:lineRule="exact"/>
        <w:ind w:firstLine="640"/>
        <w:rPr>
          <w:rFonts w:ascii="仿宋_GB2312" w:eastAsia="仿宋_GB2312" w:hAnsi="宋体" w:cs="宋体"/>
          <w:kern w:val="0"/>
          <w:sz w:val="24"/>
          <w:szCs w:val="24"/>
        </w:rPr>
      </w:pPr>
      <w:r>
        <w:rPr>
          <w:rFonts w:ascii="黑体" w:eastAsia="黑体" w:hAnsi="黑体" w:cs="宋体" w:hint="eastAsia"/>
          <w:b/>
          <w:bCs/>
          <w:kern w:val="0"/>
          <w:sz w:val="24"/>
          <w:szCs w:val="24"/>
        </w:rPr>
        <w:t>第二十条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市交通运输主管部门会同市自然资源主管部门每半年对佛山市内交通影响评价报告的编制单位进行交通影响评价报告编制质量考核。一次考核期内，编制单位编制的交通影响评价报告累计超过3次</w:t>
      </w:r>
      <w:r w:rsidR="00011C34">
        <w:rPr>
          <w:rFonts w:ascii="仿宋_GB2312" w:eastAsia="仿宋_GB2312" w:hAnsi="宋体" w:cs="宋体" w:hint="eastAsia"/>
          <w:kern w:val="0"/>
          <w:sz w:val="24"/>
          <w:szCs w:val="24"/>
        </w:rPr>
        <w:t>（含3次）</w:t>
      </w:r>
      <w:r>
        <w:rPr>
          <w:rFonts w:ascii="仿宋_GB2312" w:eastAsia="仿宋_GB2312" w:hAnsi="宋体" w:cs="宋体" w:hint="eastAsia"/>
          <w:kern w:val="0"/>
          <w:sz w:val="24"/>
          <w:szCs w:val="24"/>
        </w:rPr>
        <w:t>未通过</w:t>
      </w:r>
      <w:r w:rsidR="00BF2D55">
        <w:rPr>
          <w:rFonts w:ascii="仿宋_GB2312" w:eastAsia="仿宋_GB2312" w:hAnsi="宋体" w:cs="宋体" w:hint="eastAsia"/>
          <w:kern w:val="0"/>
          <w:sz w:val="24"/>
          <w:szCs w:val="24"/>
        </w:rPr>
        <w:t>专家</w:t>
      </w:r>
      <w:r>
        <w:rPr>
          <w:rFonts w:ascii="仿宋_GB2312" w:eastAsia="仿宋_GB2312" w:hAnsi="宋体" w:cs="宋体" w:hint="eastAsia"/>
          <w:kern w:val="0"/>
          <w:sz w:val="24"/>
          <w:szCs w:val="24"/>
        </w:rPr>
        <w:t>评审的，纳入交通影响评价编制不合格机构名录，并由市交通运输主管部门联合市自然资源主管部门向社会公开。</w:t>
      </w:r>
      <w:r w:rsidRPr="00BF17E3">
        <w:rPr>
          <w:rFonts w:ascii="仿宋_GB2312" w:eastAsia="仿宋_GB2312" w:hAnsi="宋体" w:cs="宋体" w:hint="eastAsia"/>
          <w:kern w:val="0"/>
          <w:sz w:val="24"/>
          <w:szCs w:val="24"/>
        </w:rPr>
        <w:t>部门及建设项目业主</w:t>
      </w:r>
      <w:r>
        <w:rPr>
          <w:rFonts w:ascii="仿宋_GB2312" w:eastAsia="仿宋_GB2312" w:hAnsi="宋体" w:cs="宋体" w:hint="eastAsia"/>
          <w:kern w:val="0"/>
          <w:sz w:val="24"/>
          <w:szCs w:val="24"/>
        </w:rPr>
        <w:t>单位组织编制交通影响评价时，应避免选用</w:t>
      </w:r>
      <w:r w:rsidRPr="00BF17E3">
        <w:rPr>
          <w:rFonts w:ascii="仿宋_GB2312" w:eastAsia="仿宋_GB2312" w:hAnsi="宋体" w:cs="宋体" w:hint="eastAsia"/>
          <w:kern w:val="0"/>
          <w:sz w:val="24"/>
          <w:szCs w:val="24"/>
        </w:rPr>
        <w:t>已纳入</w:t>
      </w:r>
      <w:r>
        <w:rPr>
          <w:rFonts w:ascii="仿宋_GB2312" w:eastAsia="仿宋_GB2312" w:hAnsi="宋体" w:cs="宋体" w:hint="eastAsia"/>
          <w:kern w:val="0"/>
          <w:sz w:val="24"/>
          <w:szCs w:val="24"/>
        </w:rPr>
        <w:t>不合格机构名录的单位。</w:t>
      </w:r>
    </w:p>
    <w:p w14:paraId="2D97484D" w14:textId="77777777" w:rsidR="00FA60D0" w:rsidRDefault="00FA60D0">
      <w:pPr>
        <w:widowControl/>
        <w:shd w:val="clear" w:color="auto" w:fill="FFFFFF"/>
        <w:snapToGrid w:val="0"/>
        <w:spacing w:line="520" w:lineRule="exact"/>
        <w:jc w:val="center"/>
        <w:rPr>
          <w:rFonts w:ascii="黑体" w:eastAsia="黑体" w:hAnsi="黑体" w:cs="宋体"/>
          <w:b/>
          <w:bCs/>
          <w:kern w:val="0"/>
          <w:sz w:val="32"/>
          <w:szCs w:val="32"/>
        </w:rPr>
      </w:pPr>
    </w:p>
    <w:p w14:paraId="1FBD6F91" w14:textId="77777777" w:rsidR="00FA60D0" w:rsidRDefault="00AB72F9">
      <w:pPr>
        <w:widowControl/>
        <w:shd w:val="clear" w:color="auto" w:fill="FFFFFF"/>
        <w:snapToGrid w:val="0"/>
        <w:spacing w:line="520" w:lineRule="exact"/>
        <w:jc w:val="center"/>
        <w:rPr>
          <w:rFonts w:ascii="黑体" w:eastAsia="黑体" w:hAnsi="黑体" w:cs="宋体"/>
          <w:b/>
          <w:bCs/>
          <w:kern w:val="0"/>
          <w:sz w:val="32"/>
          <w:szCs w:val="32"/>
        </w:rPr>
      </w:pPr>
      <w:r>
        <w:rPr>
          <w:rFonts w:ascii="黑体" w:eastAsia="黑体" w:hAnsi="黑体" w:cs="宋体" w:hint="eastAsia"/>
          <w:b/>
          <w:bCs/>
          <w:kern w:val="0"/>
          <w:sz w:val="32"/>
          <w:szCs w:val="32"/>
        </w:rPr>
        <w:t>第五章</w:t>
      </w:r>
      <w:r>
        <w:rPr>
          <w:rFonts w:ascii="Calibri" w:eastAsia="黑体" w:hAnsi="Calibri" w:cs="Calibri"/>
          <w:b/>
          <w:bCs/>
          <w:kern w:val="0"/>
          <w:sz w:val="32"/>
          <w:szCs w:val="32"/>
        </w:rPr>
        <w:t>  </w:t>
      </w:r>
      <w:r>
        <w:rPr>
          <w:rFonts w:ascii="黑体" w:eastAsia="黑体" w:hAnsi="黑体" w:cs="宋体" w:hint="eastAsia"/>
          <w:b/>
          <w:bCs/>
          <w:kern w:val="0"/>
          <w:sz w:val="32"/>
          <w:szCs w:val="32"/>
        </w:rPr>
        <w:t>附</w:t>
      </w:r>
      <w:r>
        <w:rPr>
          <w:rFonts w:ascii="Calibri" w:eastAsia="黑体" w:hAnsi="Calibri" w:cs="Calibri"/>
          <w:b/>
          <w:bCs/>
          <w:kern w:val="0"/>
          <w:sz w:val="32"/>
          <w:szCs w:val="32"/>
        </w:rPr>
        <w:t>  </w:t>
      </w:r>
      <w:r>
        <w:rPr>
          <w:rFonts w:ascii="黑体" w:eastAsia="黑体" w:hAnsi="黑体" w:cs="宋体" w:hint="eastAsia"/>
          <w:b/>
          <w:bCs/>
          <w:kern w:val="0"/>
          <w:sz w:val="32"/>
          <w:szCs w:val="32"/>
        </w:rPr>
        <w:t>则</w:t>
      </w:r>
    </w:p>
    <w:p w14:paraId="416DCCFE" w14:textId="451ECAD0" w:rsidR="00FA60D0" w:rsidRDefault="00AB72F9">
      <w:pPr>
        <w:widowControl/>
        <w:shd w:val="clear" w:color="auto" w:fill="FFFFFF"/>
        <w:snapToGrid w:val="0"/>
        <w:spacing w:line="520" w:lineRule="exact"/>
        <w:ind w:firstLine="640"/>
        <w:jc w:val="left"/>
        <w:rPr>
          <w:rFonts w:ascii="仿宋_GB2312" w:eastAsia="仿宋_GB2312"/>
        </w:rPr>
      </w:pPr>
      <w:r w:rsidRPr="00BF17E3">
        <w:rPr>
          <w:rFonts w:ascii="黑体" w:eastAsia="黑体" w:hAnsi="黑体" w:cs="宋体" w:hint="eastAsia"/>
          <w:b/>
          <w:bCs/>
          <w:kern w:val="0"/>
          <w:sz w:val="24"/>
          <w:szCs w:val="24"/>
        </w:rPr>
        <w:t>第二十一条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由市交通运输局</w:t>
      </w:r>
      <w:r w:rsidR="00011C34">
        <w:rPr>
          <w:rFonts w:ascii="仿宋_GB2312" w:eastAsia="仿宋_GB2312" w:hAnsi="宋体" w:cs="宋体" w:hint="eastAsia"/>
          <w:kern w:val="0"/>
          <w:sz w:val="24"/>
          <w:szCs w:val="24"/>
        </w:rPr>
        <w:t>会同市自然资源</w:t>
      </w:r>
      <w:proofErr w:type="gramStart"/>
      <w:r w:rsidR="00011C34">
        <w:rPr>
          <w:rFonts w:ascii="仿宋_GB2312" w:eastAsia="仿宋_GB2312" w:hAnsi="宋体" w:cs="宋体" w:hint="eastAsia"/>
          <w:kern w:val="0"/>
          <w:sz w:val="24"/>
          <w:szCs w:val="24"/>
        </w:rPr>
        <w:t>局</w:t>
      </w:r>
      <w:r>
        <w:rPr>
          <w:rFonts w:ascii="仿宋_GB2312" w:eastAsia="仿宋_GB2312" w:hAnsi="宋体" w:cs="宋体" w:hint="eastAsia"/>
          <w:kern w:val="0"/>
          <w:sz w:val="24"/>
          <w:szCs w:val="24"/>
        </w:rPr>
        <w:t>配套</w:t>
      </w:r>
      <w:proofErr w:type="gramEnd"/>
      <w:r>
        <w:rPr>
          <w:rFonts w:ascii="仿宋_GB2312" w:eastAsia="仿宋_GB2312" w:hAnsi="宋体" w:cs="宋体" w:hint="eastAsia"/>
          <w:kern w:val="0"/>
          <w:sz w:val="24"/>
          <w:szCs w:val="24"/>
        </w:rPr>
        <w:t>制定相关实施细则和技术指引。</w:t>
      </w:r>
    </w:p>
    <w:p w14:paraId="2C5DF268" w14:textId="4F4004A9" w:rsidR="00FA60D0" w:rsidRDefault="00AB72F9">
      <w:pPr>
        <w:widowControl/>
        <w:shd w:val="clear" w:color="auto" w:fill="FFFFFF"/>
        <w:snapToGrid w:val="0"/>
        <w:spacing w:line="520" w:lineRule="exact"/>
        <w:ind w:firstLine="640"/>
        <w:jc w:val="left"/>
        <w:rPr>
          <w:rFonts w:ascii="仿宋_GB2312" w:eastAsia="仿宋_GB2312" w:hAnsi="宋体" w:cs="宋体"/>
          <w:kern w:val="0"/>
          <w:sz w:val="27"/>
          <w:szCs w:val="27"/>
        </w:rPr>
      </w:pPr>
      <w:r>
        <w:rPr>
          <w:rFonts w:ascii="黑体" w:eastAsia="黑体" w:hAnsi="黑体" w:cs="宋体" w:hint="eastAsia"/>
          <w:b/>
          <w:bCs/>
          <w:kern w:val="0"/>
          <w:sz w:val="24"/>
          <w:szCs w:val="24"/>
        </w:rPr>
        <w:t>第二十二条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本办法自***年**月**日起实施，2015年5月1日起实施的《佛山市交通影响评价编制与管理办法》同时废止。</w:t>
      </w:r>
    </w:p>
    <w:p w14:paraId="2B295A39" w14:textId="1E294652" w:rsidR="00FA60D0" w:rsidRDefault="00AB72F9">
      <w:pPr>
        <w:widowControl/>
        <w:shd w:val="clear" w:color="auto" w:fill="FFFFFF"/>
        <w:snapToGrid w:val="0"/>
        <w:spacing w:line="520" w:lineRule="exact"/>
        <w:ind w:firstLine="640"/>
        <w:jc w:val="left"/>
        <w:rPr>
          <w:rFonts w:ascii="仿宋_GB2312" w:eastAsia="仿宋_GB2312" w:hAnsi="宋体" w:cs="宋体"/>
          <w:kern w:val="0"/>
          <w:sz w:val="24"/>
          <w:szCs w:val="24"/>
        </w:rPr>
      </w:pPr>
      <w:r>
        <w:rPr>
          <w:rFonts w:ascii="黑体" w:eastAsia="黑体" w:hAnsi="黑体" w:cs="宋体" w:hint="eastAsia"/>
          <w:b/>
          <w:bCs/>
          <w:kern w:val="0"/>
          <w:sz w:val="24"/>
          <w:szCs w:val="24"/>
        </w:rPr>
        <w:t>第二十三条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本办法由市交通运输局、自然资源局负责解释。</w:t>
      </w:r>
    </w:p>
    <w:p w14:paraId="6C76F966" w14:textId="77777777" w:rsidR="00FA60D0" w:rsidRDefault="00FA60D0">
      <w:pPr>
        <w:widowControl/>
        <w:shd w:val="clear" w:color="auto" w:fill="FFFFFF"/>
        <w:snapToGrid w:val="0"/>
        <w:spacing w:line="520" w:lineRule="exact"/>
        <w:ind w:firstLine="640"/>
        <w:jc w:val="left"/>
        <w:rPr>
          <w:rFonts w:ascii="仿宋_GB2312" w:eastAsia="仿宋_GB2312"/>
        </w:rPr>
      </w:pPr>
    </w:p>
    <w:sectPr w:rsidR="00FA60D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F4DF" w14:textId="77777777" w:rsidR="00194558" w:rsidRDefault="00194558">
      <w:r>
        <w:separator/>
      </w:r>
    </w:p>
  </w:endnote>
  <w:endnote w:type="continuationSeparator" w:id="0">
    <w:p w14:paraId="1A47406C" w14:textId="77777777" w:rsidR="00194558" w:rsidRDefault="0019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81795"/>
    </w:sdtPr>
    <w:sdtEndPr/>
    <w:sdtContent>
      <w:p w14:paraId="2C98EB33" w14:textId="77777777" w:rsidR="00FA60D0" w:rsidRDefault="00AB72F9">
        <w:pPr>
          <w:pStyle w:val="a7"/>
          <w:jc w:val="center"/>
        </w:pPr>
        <w:r>
          <w:fldChar w:fldCharType="begin"/>
        </w:r>
        <w:r>
          <w:instrText>PAGE   \* MERGEFORMAT</w:instrText>
        </w:r>
        <w:r>
          <w:fldChar w:fldCharType="separate"/>
        </w:r>
        <w:r>
          <w:rPr>
            <w:lang w:val="zh-CN"/>
          </w:rPr>
          <w:t>5</w:t>
        </w:r>
        <w:r>
          <w:fldChar w:fldCharType="end"/>
        </w:r>
      </w:p>
    </w:sdtContent>
  </w:sdt>
  <w:p w14:paraId="0183CC5D" w14:textId="77777777" w:rsidR="00FA60D0" w:rsidRDefault="00FA60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C2A3" w14:textId="77777777" w:rsidR="00194558" w:rsidRDefault="00194558">
      <w:r>
        <w:separator/>
      </w:r>
    </w:p>
  </w:footnote>
  <w:footnote w:type="continuationSeparator" w:id="0">
    <w:p w14:paraId="179843D3" w14:textId="77777777" w:rsidR="00194558" w:rsidRDefault="00194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71C"/>
    <w:multiLevelType w:val="multilevel"/>
    <w:tmpl w:val="28CB271C"/>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C20"/>
    <w:rsid w:val="0000623B"/>
    <w:rsid w:val="00007E97"/>
    <w:rsid w:val="00011C34"/>
    <w:rsid w:val="00024FEE"/>
    <w:rsid w:val="00027E38"/>
    <w:rsid w:val="000305CF"/>
    <w:rsid w:val="000429E2"/>
    <w:rsid w:val="0004394F"/>
    <w:rsid w:val="00051B77"/>
    <w:rsid w:val="0005390C"/>
    <w:rsid w:val="00053F02"/>
    <w:rsid w:val="000546B3"/>
    <w:rsid w:val="00056EAA"/>
    <w:rsid w:val="00057364"/>
    <w:rsid w:val="00062EB3"/>
    <w:rsid w:val="00076B68"/>
    <w:rsid w:val="00080B5E"/>
    <w:rsid w:val="00092C20"/>
    <w:rsid w:val="000B3D27"/>
    <w:rsid w:val="000D1DA2"/>
    <w:rsid w:val="000E3C80"/>
    <w:rsid w:val="000E5740"/>
    <w:rsid w:val="000F545F"/>
    <w:rsid w:val="000F654D"/>
    <w:rsid w:val="001246C2"/>
    <w:rsid w:val="001413CD"/>
    <w:rsid w:val="00143F1A"/>
    <w:rsid w:val="00160FD9"/>
    <w:rsid w:val="00166EB3"/>
    <w:rsid w:val="00172343"/>
    <w:rsid w:val="001734A2"/>
    <w:rsid w:val="00174144"/>
    <w:rsid w:val="00194558"/>
    <w:rsid w:val="001A409F"/>
    <w:rsid w:val="001A5B3B"/>
    <w:rsid w:val="001B25DA"/>
    <w:rsid w:val="001B348B"/>
    <w:rsid w:val="001C7FA8"/>
    <w:rsid w:val="001D47A1"/>
    <w:rsid w:val="001E4965"/>
    <w:rsid w:val="001F5529"/>
    <w:rsid w:val="00200D75"/>
    <w:rsid w:val="00206CBD"/>
    <w:rsid w:val="00234A89"/>
    <w:rsid w:val="002402BF"/>
    <w:rsid w:val="002425B2"/>
    <w:rsid w:val="00257D78"/>
    <w:rsid w:val="00261981"/>
    <w:rsid w:val="00280628"/>
    <w:rsid w:val="00290F01"/>
    <w:rsid w:val="002B4AAB"/>
    <w:rsid w:val="002B6494"/>
    <w:rsid w:val="002E7235"/>
    <w:rsid w:val="00316AB5"/>
    <w:rsid w:val="0032567D"/>
    <w:rsid w:val="003315A1"/>
    <w:rsid w:val="003337C2"/>
    <w:rsid w:val="00340D1D"/>
    <w:rsid w:val="00342BF8"/>
    <w:rsid w:val="00343D0D"/>
    <w:rsid w:val="00361F40"/>
    <w:rsid w:val="00370216"/>
    <w:rsid w:val="003764CF"/>
    <w:rsid w:val="00382FDA"/>
    <w:rsid w:val="00391BF0"/>
    <w:rsid w:val="003C504F"/>
    <w:rsid w:val="003F1440"/>
    <w:rsid w:val="003F197B"/>
    <w:rsid w:val="003F29A8"/>
    <w:rsid w:val="003F4059"/>
    <w:rsid w:val="003F4979"/>
    <w:rsid w:val="003F6138"/>
    <w:rsid w:val="00412001"/>
    <w:rsid w:val="00414D07"/>
    <w:rsid w:val="00426DCC"/>
    <w:rsid w:val="004400BA"/>
    <w:rsid w:val="00442440"/>
    <w:rsid w:val="0044435E"/>
    <w:rsid w:val="00455DDF"/>
    <w:rsid w:val="004570F6"/>
    <w:rsid w:val="004659DF"/>
    <w:rsid w:val="00465C46"/>
    <w:rsid w:val="00491AC1"/>
    <w:rsid w:val="004A5CA4"/>
    <w:rsid w:val="004B7AD3"/>
    <w:rsid w:val="004B7BFA"/>
    <w:rsid w:val="004E5678"/>
    <w:rsid w:val="004E6A94"/>
    <w:rsid w:val="00517B94"/>
    <w:rsid w:val="00520A9B"/>
    <w:rsid w:val="0053435A"/>
    <w:rsid w:val="00546D11"/>
    <w:rsid w:val="0054730A"/>
    <w:rsid w:val="00551627"/>
    <w:rsid w:val="00555F84"/>
    <w:rsid w:val="00564135"/>
    <w:rsid w:val="00591C04"/>
    <w:rsid w:val="005936A8"/>
    <w:rsid w:val="00596493"/>
    <w:rsid w:val="005A1B81"/>
    <w:rsid w:val="005B728D"/>
    <w:rsid w:val="005B7C17"/>
    <w:rsid w:val="005E79B8"/>
    <w:rsid w:val="00603039"/>
    <w:rsid w:val="006302A2"/>
    <w:rsid w:val="006500FD"/>
    <w:rsid w:val="00655EA2"/>
    <w:rsid w:val="00661C09"/>
    <w:rsid w:val="00662D96"/>
    <w:rsid w:val="00663C3D"/>
    <w:rsid w:val="00663CFF"/>
    <w:rsid w:val="0067059D"/>
    <w:rsid w:val="00680EB6"/>
    <w:rsid w:val="006825CB"/>
    <w:rsid w:val="00683E74"/>
    <w:rsid w:val="00695BF7"/>
    <w:rsid w:val="006C0C75"/>
    <w:rsid w:val="006C385D"/>
    <w:rsid w:val="006D0881"/>
    <w:rsid w:val="006E7D61"/>
    <w:rsid w:val="007060F6"/>
    <w:rsid w:val="00707D66"/>
    <w:rsid w:val="00710D62"/>
    <w:rsid w:val="007118A3"/>
    <w:rsid w:val="00715960"/>
    <w:rsid w:val="00723189"/>
    <w:rsid w:val="007238F8"/>
    <w:rsid w:val="0075058C"/>
    <w:rsid w:val="007637AB"/>
    <w:rsid w:val="00764A5C"/>
    <w:rsid w:val="00767F3D"/>
    <w:rsid w:val="007878B8"/>
    <w:rsid w:val="007970E8"/>
    <w:rsid w:val="007A4FCE"/>
    <w:rsid w:val="007A7939"/>
    <w:rsid w:val="007B0DCC"/>
    <w:rsid w:val="007C03CA"/>
    <w:rsid w:val="007D263E"/>
    <w:rsid w:val="007E0FD0"/>
    <w:rsid w:val="007E42DF"/>
    <w:rsid w:val="007E63DF"/>
    <w:rsid w:val="0080023C"/>
    <w:rsid w:val="008153CA"/>
    <w:rsid w:val="008731DC"/>
    <w:rsid w:val="00875E63"/>
    <w:rsid w:val="00880493"/>
    <w:rsid w:val="008872AB"/>
    <w:rsid w:val="00896027"/>
    <w:rsid w:val="008B4A53"/>
    <w:rsid w:val="008D348E"/>
    <w:rsid w:val="008D592C"/>
    <w:rsid w:val="008D5FA2"/>
    <w:rsid w:val="008F6FC3"/>
    <w:rsid w:val="009134FC"/>
    <w:rsid w:val="00920B93"/>
    <w:rsid w:val="00920F7C"/>
    <w:rsid w:val="00922F1F"/>
    <w:rsid w:val="009339AD"/>
    <w:rsid w:val="00936828"/>
    <w:rsid w:val="00944904"/>
    <w:rsid w:val="00962E77"/>
    <w:rsid w:val="0096410D"/>
    <w:rsid w:val="0096489C"/>
    <w:rsid w:val="009663CE"/>
    <w:rsid w:val="00972E19"/>
    <w:rsid w:val="00980395"/>
    <w:rsid w:val="00982694"/>
    <w:rsid w:val="0098526E"/>
    <w:rsid w:val="00992101"/>
    <w:rsid w:val="009A09A7"/>
    <w:rsid w:val="009B0EF7"/>
    <w:rsid w:val="009D74BF"/>
    <w:rsid w:val="00A028E3"/>
    <w:rsid w:val="00A03B45"/>
    <w:rsid w:val="00A07E61"/>
    <w:rsid w:val="00A42702"/>
    <w:rsid w:val="00A575F2"/>
    <w:rsid w:val="00A641C5"/>
    <w:rsid w:val="00A7403D"/>
    <w:rsid w:val="00A848C9"/>
    <w:rsid w:val="00A92B30"/>
    <w:rsid w:val="00A9695A"/>
    <w:rsid w:val="00AA20FB"/>
    <w:rsid w:val="00AA6A33"/>
    <w:rsid w:val="00AB0A46"/>
    <w:rsid w:val="00AB72F9"/>
    <w:rsid w:val="00AC69F2"/>
    <w:rsid w:val="00AE1C5F"/>
    <w:rsid w:val="00AF16D7"/>
    <w:rsid w:val="00AF1F73"/>
    <w:rsid w:val="00B030EB"/>
    <w:rsid w:val="00B1648A"/>
    <w:rsid w:val="00B27FF6"/>
    <w:rsid w:val="00B70091"/>
    <w:rsid w:val="00B71F1C"/>
    <w:rsid w:val="00B82147"/>
    <w:rsid w:val="00B85CD7"/>
    <w:rsid w:val="00B929FE"/>
    <w:rsid w:val="00B975D9"/>
    <w:rsid w:val="00BA4801"/>
    <w:rsid w:val="00BA4D81"/>
    <w:rsid w:val="00BB56E9"/>
    <w:rsid w:val="00BD106C"/>
    <w:rsid w:val="00BE454E"/>
    <w:rsid w:val="00BF17E3"/>
    <w:rsid w:val="00BF2D55"/>
    <w:rsid w:val="00BF50DB"/>
    <w:rsid w:val="00C15635"/>
    <w:rsid w:val="00C23F5F"/>
    <w:rsid w:val="00C323F5"/>
    <w:rsid w:val="00C3579D"/>
    <w:rsid w:val="00C3627A"/>
    <w:rsid w:val="00C4404D"/>
    <w:rsid w:val="00C47A6A"/>
    <w:rsid w:val="00C754C4"/>
    <w:rsid w:val="00C75E7C"/>
    <w:rsid w:val="00C76913"/>
    <w:rsid w:val="00C83D47"/>
    <w:rsid w:val="00CA29E4"/>
    <w:rsid w:val="00CB56D7"/>
    <w:rsid w:val="00CD1FC1"/>
    <w:rsid w:val="00CD2D85"/>
    <w:rsid w:val="00CD485B"/>
    <w:rsid w:val="00CE32A5"/>
    <w:rsid w:val="00D006CF"/>
    <w:rsid w:val="00D07E08"/>
    <w:rsid w:val="00D23C88"/>
    <w:rsid w:val="00D301A4"/>
    <w:rsid w:val="00D305BA"/>
    <w:rsid w:val="00D35520"/>
    <w:rsid w:val="00D53482"/>
    <w:rsid w:val="00D6111F"/>
    <w:rsid w:val="00D82E03"/>
    <w:rsid w:val="00D85A12"/>
    <w:rsid w:val="00DB2E72"/>
    <w:rsid w:val="00DB6AA4"/>
    <w:rsid w:val="00DE01F9"/>
    <w:rsid w:val="00DE26EF"/>
    <w:rsid w:val="00DE5D3A"/>
    <w:rsid w:val="00DE6FF6"/>
    <w:rsid w:val="00E03756"/>
    <w:rsid w:val="00E0515B"/>
    <w:rsid w:val="00E12A81"/>
    <w:rsid w:val="00E15E50"/>
    <w:rsid w:val="00E23F7C"/>
    <w:rsid w:val="00E3294B"/>
    <w:rsid w:val="00E4422C"/>
    <w:rsid w:val="00E55F21"/>
    <w:rsid w:val="00E611C4"/>
    <w:rsid w:val="00E64278"/>
    <w:rsid w:val="00E8011A"/>
    <w:rsid w:val="00E905F4"/>
    <w:rsid w:val="00E92022"/>
    <w:rsid w:val="00EA1C7E"/>
    <w:rsid w:val="00EA5885"/>
    <w:rsid w:val="00ED3FEF"/>
    <w:rsid w:val="00EE2625"/>
    <w:rsid w:val="00F13697"/>
    <w:rsid w:val="00F16985"/>
    <w:rsid w:val="00F26E3B"/>
    <w:rsid w:val="00F35C2F"/>
    <w:rsid w:val="00F40E56"/>
    <w:rsid w:val="00F60EFD"/>
    <w:rsid w:val="00F70861"/>
    <w:rsid w:val="00F72631"/>
    <w:rsid w:val="00F732EC"/>
    <w:rsid w:val="00F77DEF"/>
    <w:rsid w:val="00F914ED"/>
    <w:rsid w:val="00F91D47"/>
    <w:rsid w:val="00F96B9E"/>
    <w:rsid w:val="00FA60D0"/>
    <w:rsid w:val="00FE0191"/>
    <w:rsid w:val="05634237"/>
    <w:rsid w:val="07BD32FA"/>
    <w:rsid w:val="1AB06D2C"/>
    <w:rsid w:val="2B054718"/>
    <w:rsid w:val="2F300E4C"/>
    <w:rsid w:val="34C10A5A"/>
    <w:rsid w:val="469D1088"/>
    <w:rsid w:val="479F2F32"/>
    <w:rsid w:val="4EA02914"/>
    <w:rsid w:val="523961F8"/>
    <w:rsid w:val="563A65E9"/>
    <w:rsid w:val="56F63AA2"/>
    <w:rsid w:val="61BC05B3"/>
    <w:rsid w:val="6BFA2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5ADE4"/>
  <w15:docId w15:val="{5BA048CC-DC5B-413F-BBF2-F82DE8A1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paragraph" w:styleId="ae">
    <w:name w:val="List Paragraph"/>
    <w:basedOn w:val="a"/>
    <w:uiPriority w:val="99"/>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paragraph" w:customStyle="1" w:styleId="1">
    <w:name w:val="修订1"/>
    <w:hidden/>
    <w:uiPriority w:val="99"/>
    <w:semiHidden/>
    <w:qFormat/>
    <w:rPr>
      <w:kern w:val="2"/>
      <w:sz w:val="21"/>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2">
    <w:name w:val="修订2"/>
    <w:hidden/>
    <w:uiPriority w:val="99"/>
    <w:semiHidden/>
    <w:qFormat/>
    <w:rPr>
      <w:kern w:val="2"/>
      <w:sz w:val="21"/>
      <w:szCs w:val="22"/>
    </w:rPr>
  </w:style>
  <w:style w:type="paragraph" w:styleId="af">
    <w:name w:val="Revision"/>
    <w:hidden/>
    <w:uiPriority w:val="99"/>
    <w:semiHidden/>
    <w:rsid w:val="00920B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B251A7-3DC7-4421-9BDE-AD954DB75F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ziqin Ruan1601</dc:creator>
  <cp:lastModifiedBy>ziqin Ruan1601</cp:lastModifiedBy>
  <cp:revision>111</cp:revision>
  <cp:lastPrinted>2020-11-24T06:26:00Z</cp:lastPrinted>
  <dcterms:created xsi:type="dcterms:W3CDTF">2020-10-15T10:00:00Z</dcterms:created>
  <dcterms:modified xsi:type="dcterms:W3CDTF">2021-10-26T03:43:00Z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