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lang w:eastAsia="zh-CN"/>
        </w:rPr>
      </w:pPr>
      <w:r>
        <w:rPr>
          <w:rFonts w:hint="eastAsia"/>
          <w:b/>
          <w:bCs/>
          <w:sz w:val="24"/>
          <w:szCs w:val="24"/>
          <w:lang w:eastAsia="zh-CN"/>
        </w:rPr>
        <w:t>附件二：评审方式</w:t>
      </w:r>
    </w:p>
    <w:p>
      <w:pPr>
        <w:jc w:val="center"/>
        <w:rPr>
          <w:rFonts w:hint="eastAsia"/>
          <w:b/>
          <w:bCs/>
          <w:sz w:val="24"/>
          <w:szCs w:val="24"/>
          <w:lang w:eastAsia="zh-CN"/>
        </w:rPr>
      </w:pPr>
      <w:r>
        <w:rPr>
          <w:rFonts w:hint="eastAsia"/>
          <w:b/>
          <w:bCs/>
          <w:sz w:val="24"/>
          <w:szCs w:val="24"/>
          <w:lang w:eastAsia="zh-CN"/>
        </w:rPr>
        <w:t>评审方式</w:t>
      </w:r>
    </w:p>
    <w:p>
      <w:pPr>
        <w:jc w:val="center"/>
        <w:rPr>
          <w:rFonts w:hint="eastAsia"/>
          <w:lang w:eastAsia="zh-CN"/>
        </w:rPr>
      </w:pPr>
    </w:p>
    <w:p>
      <w:pPr>
        <w:spacing w:line="360" w:lineRule="auto"/>
        <w:jc w:val="left"/>
        <w:rPr>
          <w:rFonts w:hint="default"/>
          <w:sz w:val="21"/>
          <w:szCs w:val="21"/>
          <w:lang w:val="en-US" w:eastAsia="zh-CN"/>
        </w:rPr>
      </w:pPr>
      <w:r>
        <w:rPr>
          <w:rFonts w:hint="eastAsia"/>
          <w:sz w:val="21"/>
          <w:szCs w:val="21"/>
          <w:lang w:eastAsia="zh-CN"/>
        </w:rPr>
        <w:t>一、磋商小组：由五人单数组成</w:t>
      </w:r>
    </w:p>
    <w:p>
      <w:pPr>
        <w:spacing w:line="360" w:lineRule="auto"/>
        <w:jc w:val="left"/>
        <w:rPr>
          <w:rFonts w:hint="eastAsia"/>
          <w:sz w:val="21"/>
          <w:szCs w:val="21"/>
          <w:lang w:eastAsia="zh-CN"/>
        </w:rPr>
      </w:pPr>
      <w:r>
        <w:rPr>
          <w:rFonts w:hint="eastAsia"/>
          <w:sz w:val="21"/>
          <w:szCs w:val="21"/>
          <w:lang w:eastAsia="zh-CN"/>
        </w:rPr>
        <w:t>二、评审办法：综合评分法</w:t>
      </w:r>
    </w:p>
    <w:p>
      <w:pPr>
        <w:spacing w:line="360" w:lineRule="auto"/>
        <w:jc w:val="left"/>
        <w:rPr>
          <w:rFonts w:hint="eastAsia"/>
          <w:sz w:val="21"/>
          <w:szCs w:val="21"/>
          <w:lang w:eastAsia="zh-CN"/>
        </w:rPr>
      </w:pPr>
      <w:r>
        <w:rPr>
          <w:rFonts w:hint="eastAsia"/>
          <w:sz w:val="21"/>
          <w:szCs w:val="21"/>
          <w:lang w:eastAsia="zh-CN"/>
        </w:rPr>
        <w:t>三、磋商过程：</w:t>
      </w:r>
    </w:p>
    <w:p>
      <w:pPr>
        <w:spacing w:line="360" w:lineRule="auto"/>
        <w:ind w:firstLine="420" w:firstLineChars="200"/>
        <w:jc w:val="left"/>
        <w:rPr>
          <w:rFonts w:hint="eastAsia"/>
          <w:sz w:val="21"/>
          <w:szCs w:val="21"/>
          <w:lang w:eastAsia="zh-CN"/>
        </w:rPr>
      </w:pPr>
      <w:r>
        <w:rPr>
          <w:rFonts w:hint="eastAsia"/>
          <w:sz w:val="21"/>
          <w:szCs w:val="21"/>
          <w:lang w:eastAsia="zh-CN"/>
        </w:rPr>
        <w:t>1. 磋商小组仔细阅读需求呢绒，熟悉采购内容。</w:t>
      </w:r>
    </w:p>
    <w:p>
      <w:pPr>
        <w:spacing w:line="360" w:lineRule="auto"/>
        <w:ind w:firstLine="420" w:firstLineChars="200"/>
        <w:jc w:val="left"/>
        <w:rPr>
          <w:rFonts w:hint="eastAsia"/>
          <w:sz w:val="21"/>
          <w:szCs w:val="21"/>
          <w:lang w:eastAsia="zh-CN"/>
        </w:rPr>
      </w:pPr>
      <w:r>
        <w:rPr>
          <w:rFonts w:hint="eastAsia"/>
          <w:sz w:val="21"/>
          <w:szCs w:val="21"/>
          <w:lang w:eastAsia="zh-CN"/>
        </w:rPr>
        <w:t>2. 磋商小组对所有供应商进行资格性、符合性审查。磋商小组拒绝未通过资格性、符合性审查供应商的磋商报价。</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3</w:t>
      </w:r>
      <w:r>
        <w:rPr>
          <w:rFonts w:hint="eastAsia"/>
          <w:sz w:val="21"/>
          <w:szCs w:val="21"/>
          <w:lang w:val="ru-RU" w:eastAsia="zh-CN"/>
        </w:rPr>
        <w:t>. 磋商。</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①磋商小组所有成员应当集中与单一供应商分别进行磋商，并给予所有参加磋商的供应商平等的磋商机会。</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②在磋商过程中，磋商小组可以根据磋商文件和磋商情况实质性变动采购需求中的技术、服务要求以及合同草案条款，但不得变动磋商文件中的其他内容。实质性变动的内容，须经采购人代表确认。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③对磋商文件作出的实质性变动是磋商文件的有效组成部分，磋商小组应当及时以书面形式同时通知所有参加磋商的供应商。</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④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⑤磋商文件能够详细列明采购标的的技术、服务要求的，磋商小组应当要求所有实质性响应的供应商在规定时间内提交最后报价，提交最后报价的供应商不得少于3家。</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4</w:t>
      </w:r>
      <w:r>
        <w:rPr>
          <w:rFonts w:hint="eastAsia"/>
          <w:sz w:val="21"/>
          <w:szCs w:val="21"/>
          <w:lang w:val="ru-RU" w:eastAsia="zh-CN"/>
        </w:rPr>
        <w:t>.最后报价</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①有效供应商应在规定的时间内集中密封提交最后报价（最后报价时间视磋商进程由磋商小组决定）。除非在磋商中磋商小组调整或修改竞争性磋商文件内容，一般情况下最后报价均不得高于前一次报价，否则采购人不接受高于前面轮次磋商报价的最后报价。最后报价内容须现场公布。对成交供应商的价格出现明显低于或高于同业同期市场平均价的情形时，磋商小组应当在评审意见中详细说明推荐理由。</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②最后报价是供应商响应文件的有效组成部分。</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5</w:t>
      </w:r>
      <w:r>
        <w:rPr>
          <w:rFonts w:hint="eastAsia"/>
          <w:sz w:val="21"/>
          <w:szCs w:val="21"/>
          <w:lang w:val="ru-RU" w:eastAsia="zh-CN"/>
        </w:rPr>
        <w:t>.</w:t>
      </w:r>
      <w:r>
        <w:rPr>
          <w:rFonts w:hint="eastAsia"/>
          <w:sz w:val="21"/>
          <w:szCs w:val="21"/>
          <w:lang w:val="en-US" w:eastAsia="zh-CN"/>
        </w:rPr>
        <w:t xml:space="preserve"> </w:t>
      </w:r>
      <w:r>
        <w:rPr>
          <w:rFonts w:hint="eastAsia"/>
          <w:sz w:val="21"/>
          <w:szCs w:val="21"/>
          <w:lang w:val="ru-RU" w:eastAsia="zh-CN"/>
        </w:rPr>
        <w:t>无效的最后报价，如发现下列情况之一的，其报价将被拒绝：</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①最后报价高于最高限价的；</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②最后报价有重大漏项或重大不合理的（对超出常规、具有特别意义或会引起竞争非议的报价须作出特别说明。如报价低于成本价且供应商无充分理由的）。</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③最后报价大写和小写不一致，不接受磋商小组修正的。</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④磋商小组认为其他最后报价未实质性响应磋商文件要求的。</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6</w:t>
      </w:r>
      <w:r>
        <w:rPr>
          <w:rFonts w:hint="eastAsia"/>
          <w:sz w:val="21"/>
          <w:szCs w:val="21"/>
          <w:lang w:val="ru-RU" w:eastAsia="zh-CN"/>
        </w:rPr>
        <w:t>. 比较与评价。</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①经磋商确定最终采购需求和提交最后报价的供应商后，由磋商小组采用综合评分法对提交最后报价的供应商的响应文件和最后报价进行综合评分。</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②评审时，磋商小组各成员应当独立对每个有效响应的文件进行评价、打分，然后汇总每个供应商每项评分因素的得分。评分按四舍五入的原则精确至小数点后两位。</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7</w:t>
      </w:r>
      <w:r>
        <w:rPr>
          <w:rFonts w:hint="eastAsia"/>
          <w:sz w:val="21"/>
          <w:szCs w:val="21"/>
          <w:lang w:val="ru-RU" w:eastAsia="zh-CN"/>
        </w:rPr>
        <w:t>. 综合汇总及推荐结果。</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①将各磋商小组成员的评分进行汇总，综合总分从高到低顺序排列，磋商小组根据综合评分情况，推选排名第一的为成交供应商。</w:t>
      </w:r>
    </w:p>
    <w:p>
      <w:pPr>
        <w:spacing w:line="360" w:lineRule="auto"/>
        <w:ind w:firstLine="420" w:firstLineChars="200"/>
        <w:jc w:val="left"/>
        <w:rPr>
          <w:rFonts w:hint="eastAsia"/>
          <w:sz w:val="21"/>
          <w:szCs w:val="21"/>
          <w:lang w:val="ru-RU" w:eastAsia="zh-CN"/>
        </w:rPr>
      </w:pPr>
      <w:r>
        <w:rPr>
          <w:rFonts w:hint="eastAsia"/>
          <w:sz w:val="21"/>
          <w:szCs w:val="21"/>
          <w:lang w:val="ru-RU" w:eastAsia="zh-CN"/>
        </w:rPr>
        <w:t>②如评标总得分排名第一有多家供应商得分并列相同的，按照最后报价由低到高的顺序推荐；评审得分且最后报价相同的，按技术得分从高到低顺序推荐；若评标总得分、最后报价、技术得分都相同，则由评委投票决定排序，投票按少数服从多数的原则进行，投票时不得弃权。</w:t>
      </w:r>
    </w:p>
    <w:p>
      <w:pPr>
        <w:spacing w:line="360" w:lineRule="auto"/>
        <w:jc w:val="left"/>
        <w:rPr>
          <w:rFonts w:hint="eastAsia"/>
          <w:sz w:val="21"/>
          <w:szCs w:val="21"/>
          <w:lang w:eastAsia="zh-CN"/>
        </w:rPr>
      </w:pPr>
      <w:r>
        <w:rPr>
          <w:rFonts w:hint="eastAsia"/>
          <w:sz w:val="21"/>
          <w:szCs w:val="21"/>
          <w:lang w:eastAsia="zh-CN"/>
        </w:rPr>
        <w:t>四、评审方法及标准</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1、</w:t>
      </w:r>
      <w:r>
        <w:rPr>
          <w:rFonts w:hint="eastAsia"/>
          <w:sz w:val="21"/>
          <w:szCs w:val="21"/>
          <w:lang w:val="ru-RU" w:eastAsia="zh-CN"/>
        </w:rPr>
        <w:t>对通过资格、符合性审查的响应供应商最后报价及进行技术、商务及价格的详细评审，最后竞争性磋商小组出具评审报告。</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2、</w:t>
      </w:r>
      <w:r>
        <w:rPr>
          <w:rFonts w:hint="eastAsia"/>
          <w:sz w:val="21"/>
          <w:szCs w:val="21"/>
          <w:lang w:val="ru-RU" w:eastAsia="zh-CN"/>
        </w:rPr>
        <w:t>评分及其统计：按照评标程序、评分标准以及权重分配的规定，磋商小组各成员分别就各个响应供应商的技术状况、商务状况及其对磋商文件要求的响应情况进行评议和比较，评出其技术评分和商务评分、价格评分相加得出其综合得分。</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3、</w:t>
      </w:r>
      <w:r>
        <w:rPr>
          <w:rFonts w:hint="eastAsia"/>
          <w:sz w:val="21"/>
          <w:szCs w:val="21"/>
          <w:lang w:val="ru-RU" w:eastAsia="zh-CN"/>
        </w:rPr>
        <w:t>磋商文件要求提交的与评价指标体系相关的各类有效资料，响应供应商如未按要求提交的，该项评分为零分。</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4、</w:t>
      </w:r>
      <w:r>
        <w:rPr>
          <w:rFonts w:hint="eastAsia"/>
          <w:sz w:val="21"/>
          <w:szCs w:val="21"/>
          <w:lang w:val="ru-RU" w:eastAsia="zh-CN"/>
        </w:rPr>
        <w:t>技术、商务部分评分：所有评委评分分值的算术平均值（四舍五入后，小数点后保留两位有效数）。</w:t>
      </w:r>
    </w:p>
    <w:p>
      <w:pPr>
        <w:pStyle w:val="2"/>
        <w:spacing w:line="360" w:lineRule="auto"/>
        <w:rPr>
          <w:rFonts w:hint="default"/>
          <w:sz w:val="21"/>
          <w:szCs w:val="21"/>
          <w:lang w:val="en-US" w:eastAsia="zh-CN"/>
        </w:rPr>
      </w:pPr>
      <w:r>
        <w:rPr>
          <w:rFonts w:hint="eastAsia"/>
          <w:sz w:val="21"/>
          <w:szCs w:val="21"/>
          <w:lang w:val="en-US" w:eastAsia="zh-CN"/>
        </w:rPr>
        <w:t xml:space="preserve">    5、综合总分=技术、商务得分+价格得分</w:t>
      </w:r>
    </w:p>
    <w:p>
      <w:pPr>
        <w:spacing w:line="360" w:lineRule="auto"/>
        <w:ind w:firstLine="420" w:firstLineChars="200"/>
        <w:jc w:val="left"/>
        <w:rPr>
          <w:rFonts w:hint="eastAsia"/>
          <w:sz w:val="21"/>
          <w:szCs w:val="21"/>
          <w:lang w:val="ru-RU" w:eastAsia="zh-CN"/>
        </w:rPr>
      </w:pPr>
      <w:r>
        <w:rPr>
          <w:rFonts w:hint="eastAsia"/>
          <w:sz w:val="21"/>
          <w:szCs w:val="21"/>
          <w:lang w:val="en-US" w:eastAsia="zh-CN"/>
        </w:rPr>
        <w:t>6、</w:t>
      </w:r>
      <w:r>
        <w:rPr>
          <w:rFonts w:hint="eastAsia"/>
          <w:sz w:val="21"/>
          <w:szCs w:val="21"/>
          <w:lang w:val="ru-RU" w:eastAsia="zh-CN"/>
        </w:rPr>
        <w:t>本项目的分值构成：</w:t>
      </w:r>
    </w:p>
    <w:tbl>
      <w:tblPr>
        <w:tblStyle w:val="6"/>
        <w:tblW w:w="0" w:type="auto"/>
        <w:tblInd w:w="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2857"/>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ru-RU" w:eastAsia="zh-CN"/>
              </w:rPr>
              <w:t>技术部分</w:t>
            </w:r>
          </w:p>
        </w:tc>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ru-RU" w:eastAsia="zh-CN"/>
              </w:rPr>
              <w:t>商务部分</w:t>
            </w:r>
          </w:p>
        </w:tc>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ru-RU" w:eastAsia="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en-US" w:eastAsia="zh-CN"/>
              </w:rPr>
              <w:t>50</w:t>
            </w:r>
            <w:r>
              <w:rPr>
                <w:rFonts w:hint="eastAsia"/>
                <w:sz w:val="21"/>
                <w:szCs w:val="21"/>
                <w:lang w:val="ru-RU" w:eastAsia="zh-CN"/>
              </w:rPr>
              <w:t>分</w:t>
            </w:r>
          </w:p>
        </w:tc>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en-US" w:eastAsia="zh-CN"/>
              </w:rPr>
              <w:t>20</w:t>
            </w:r>
            <w:r>
              <w:rPr>
                <w:rFonts w:hint="eastAsia"/>
                <w:sz w:val="21"/>
                <w:szCs w:val="21"/>
                <w:lang w:val="ru-RU" w:eastAsia="zh-CN"/>
              </w:rPr>
              <w:t>分</w:t>
            </w:r>
          </w:p>
        </w:tc>
        <w:tc>
          <w:tcPr>
            <w:tcW w:w="2857" w:type="dxa"/>
            <w:noWrap w:val="0"/>
            <w:vAlign w:val="center"/>
          </w:tcPr>
          <w:p>
            <w:pPr>
              <w:spacing w:line="360" w:lineRule="auto"/>
              <w:jc w:val="center"/>
              <w:rPr>
                <w:rFonts w:hint="eastAsia"/>
                <w:sz w:val="21"/>
                <w:szCs w:val="21"/>
                <w:lang w:val="ru-RU" w:eastAsia="zh-CN"/>
              </w:rPr>
            </w:pPr>
            <w:r>
              <w:rPr>
                <w:rFonts w:hint="eastAsia"/>
                <w:sz w:val="21"/>
                <w:szCs w:val="21"/>
                <w:lang w:val="en-US" w:eastAsia="zh-CN"/>
              </w:rPr>
              <w:t>30</w:t>
            </w:r>
            <w:r>
              <w:rPr>
                <w:rFonts w:hint="eastAsia"/>
                <w:sz w:val="21"/>
                <w:szCs w:val="21"/>
                <w:lang w:val="ru-RU" w:eastAsia="zh-CN"/>
              </w:rPr>
              <w:t>分</w:t>
            </w:r>
          </w:p>
        </w:tc>
      </w:tr>
    </w:tbl>
    <w:p>
      <w:pPr>
        <w:numPr>
          <w:ilvl w:val="0"/>
          <w:numId w:val="2"/>
        </w:numPr>
        <w:spacing w:line="360" w:lineRule="auto"/>
        <w:ind w:left="420" w:leftChars="0" w:firstLine="0" w:firstLineChars="0"/>
        <w:jc w:val="both"/>
        <w:rPr>
          <w:rFonts w:hint="eastAsia"/>
          <w:sz w:val="21"/>
          <w:szCs w:val="21"/>
          <w:lang w:val="en-US" w:eastAsia="zh-CN"/>
        </w:rPr>
      </w:pPr>
      <w:r>
        <w:rPr>
          <w:rFonts w:hint="eastAsia"/>
          <w:sz w:val="21"/>
          <w:szCs w:val="21"/>
          <w:lang w:val="en-US" w:eastAsia="zh-CN"/>
        </w:rPr>
        <w:t>评审标准</w:t>
      </w:r>
    </w:p>
    <w:p>
      <w:pPr>
        <w:pStyle w:val="2"/>
        <w:numPr>
          <w:ilvl w:val="0"/>
          <w:numId w:val="0"/>
        </w:numPr>
        <w:spacing w:line="360" w:lineRule="auto"/>
        <w:ind w:left="420" w:leftChars="0"/>
        <w:rPr>
          <w:rFonts w:hint="eastAsia"/>
          <w:sz w:val="21"/>
          <w:szCs w:val="21"/>
          <w:lang w:val="en-US" w:eastAsia="zh-CN"/>
        </w:rPr>
      </w:pPr>
      <w:r>
        <w:rPr>
          <w:rFonts w:hint="eastAsia"/>
          <w:sz w:val="21"/>
          <w:szCs w:val="21"/>
          <w:lang w:val="en-US" w:eastAsia="zh-CN"/>
        </w:rPr>
        <w:t>①资格性审查标准</w:t>
      </w: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spacing w:line="360" w:lineRule="auto"/>
        <w:jc w:val="center"/>
        <w:rPr>
          <w:rFonts w:hint="eastAsia" w:ascii="宋体" w:hAnsi="宋体"/>
          <w:b/>
          <w:bCs/>
          <w:sz w:val="21"/>
          <w:szCs w:val="21"/>
        </w:rPr>
      </w:pPr>
      <w:r>
        <w:rPr>
          <w:rFonts w:hint="eastAsia" w:ascii="宋体" w:hAnsi="宋体"/>
          <w:b/>
          <w:bCs/>
          <w:sz w:val="21"/>
          <w:szCs w:val="21"/>
        </w:rPr>
        <w:t>资格性审查表</w:t>
      </w:r>
    </w:p>
    <w:tbl>
      <w:tblPr>
        <w:tblStyle w:val="6"/>
        <w:tblW w:w="8527"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68"/>
        <w:gridCol w:w="78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62"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top"/>
          </w:tcPr>
          <w:p>
            <w:pPr>
              <w:spacing w:line="240" w:lineRule="auto"/>
              <w:jc w:val="center"/>
              <w:rPr>
                <w:rFonts w:hint="eastAsia" w:ascii="宋体" w:hAnsi="宋体" w:cs="宋体"/>
                <w:kern w:val="0"/>
                <w:sz w:val="21"/>
                <w:szCs w:val="21"/>
              </w:rPr>
            </w:pPr>
            <w:r>
              <w:rPr>
                <w:rFonts w:hint="eastAsia" w:ascii="宋体" w:hAnsi="宋体" w:cs="宋体"/>
                <w:kern w:val="0"/>
                <w:sz w:val="21"/>
                <w:szCs w:val="21"/>
              </w:rPr>
              <w:t>序号</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jc w:val="center"/>
              <w:rPr>
                <w:rFonts w:hint="eastAsia" w:ascii="宋体" w:hAnsi="宋体" w:cs="宋体"/>
                <w:kern w:val="0"/>
                <w:sz w:val="21"/>
                <w:szCs w:val="21"/>
              </w:rPr>
            </w:pPr>
            <w:r>
              <w:rPr>
                <w:rFonts w:hint="eastAsia" w:ascii="宋体" w:hAnsi="宋体" w:cs="宋体"/>
                <w:kern w:val="0"/>
                <w:sz w:val="21"/>
                <w:szCs w:val="21"/>
              </w:rPr>
              <w:t>审查内容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pStyle w:val="2"/>
              <w:spacing w:line="240" w:lineRule="auto"/>
              <w:jc w:val="center"/>
              <w:rPr>
                <w:rFonts w:hint="default"/>
                <w:sz w:val="21"/>
                <w:szCs w:val="21"/>
                <w:lang w:val="en-US" w:eastAsia="zh-CN"/>
              </w:rPr>
            </w:pPr>
            <w:r>
              <w:rPr>
                <w:rFonts w:hint="eastAsia" w:ascii="宋体" w:hAnsi="宋体" w:eastAsia="宋体" w:cs="Times New Roman"/>
                <w:kern w:val="2"/>
                <w:sz w:val="21"/>
                <w:szCs w:val="21"/>
                <w:lang w:val="en-US" w:eastAsia="zh-CN" w:bidi="ar-SA"/>
              </w:rPr>
              <w:t>1</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rPr>
                <w:rFonts w:hint="eastAsia" w:ascii="宋体" w:hAnsi="宋体" w:cs="宋体"/>
                <w:sz w:val="21"/>
                <w:szCs w:val="21"/>
              </w:rPr>
            </w:pPr>
            <w:r>
              <w:rPr>
                <w:rFonts w:hint="eastAsia" w:ascii="宋体" w:hAnsi="宋体" w:cs="宋体"/>
                <w:sz w:val="21"/>
                <w:szCs w:val="21"/>
              </w:rPr>
              <w:t>具有独立承担民事责任的能力</w:t>
            </w:r>
          </w:p>
          <w:p>
            <w:pPr>
              <w:spacing w:line="240" w:lineRule="auto"/>
              <w:rPr>
                <w:rFonts w:hint="eastAsia" w:ascii="宋体" w:hAnsi="宋体" w:eastAsia="宋体" w:cs="Times New Roman"/>
                <w:b/>
                <w:bCs w:val="0"/>
                <w:color w:val="FF0000"/>
                <w:sz w:val="21"/>
                <w:szCs w:val="21"/>
                <w:highlight w:val="yellow"/>
                <w:lang w:val="en-US" w:eastAsia="zh-CN" w:bidi="ar"/>
              </w:rPr>
            </w:pPr>
            <w:r>
              <w:rPr>
                <w:rFonts w:hint="eastAsia" w:ascii="宋体" w:hAnsi="宋体" w:cs="宋体"/>
                <w:sz w:val="21"/>
                <w:szCs w:val="21"/>
                <w:lang w:eastAsia="zh-CN"/>
              </w:rPr>
              <w:t>【</w:t>
            </w:r>
            <w:r>
              <w:rPr>
                <w:rFonts w:hint="eastAsia" w:ascii="宋体" w:hAnsi="宋体" w:cs="宋体"/>
                <w:sz w:val="21"/>
                <w:szCs w:val="21"/>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出具给分公司的授权书，并提供总公司和分公司的营业执照（执业许可证）复印件。已由总公司授权的，总公司取得的相关资质证书对分公司有效，法律法规或者行业另有规定的除外）</w:t>
            </w:r>
            <w:r>
              <w:rPr>
                <w:rFonts w:hint="eastAsia" w:ascii="宋体" w:hAnsi="宋体" w:cs="宋体"/>
                <w:sz w:val="21"/>
                <w:szCs w:val="21"/>
                <w:lang w:eastAsia="zh-C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pStyle w:val="2"/>
              <w:spacing w:line="240" w:lineRule="auto"/>
              <w:jc w:val="center"/>
              <w:rPr>
                <w:rFonts w:hint="default"/>
                <w:sz w:val="21"/>
                <w:szCs w:val="21"/>
                <w:lang w:val="en-US" w:eastAsia="zh-CN"/>
              </w:rPr>
            </w:pPr>
            <w:r>
              <w:rPr>
                <w:rFonts w:hint="eastAsia" w:ascii="宋体" w:hAnsi="宋体" w:eastAsia="宋体" w:cs="Times New Roman"/>
                <w:kern w:val="2"/>
                <w:sz w:val="21"/>
                <w:szCs w:val="21"/>
                <w:lang w:val="en-US" w:eastAsia="zh-CN" w:bidi="ar-SA"/>
              </w:rPr>
              <w:t>2</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rPr>
                <w:rFonts w:hint="eastAsia" w:ascii="宋体" w:hAnsi="宋体" w:cs="宋体"/>
                <w:sz w:val="21"/>
                <w:szCs w:val="21"/>
              </w:rPr>
            </w:pPr>
            <w:r>
              <w:rPr>
                <w:rFonts w:hint="eastAsia" w:ascii="宋体" w:hAnsi="宋体" w:cs="宋体"/>
                <w:sz w:val="21"/>
                <w:szCs w:val="21"/>
              </w:rPr>
              <w:t>具有良好的商业信誉和健全的财务会计制度</w:t>
            </w:r>
          </w:p>
          <w:p>
            <w:pPr>
              <w:spacing w:line="240" w:lineRule="auto"/>
              <w:rPr>
                <w:rFonts w:hint="eastAsia" w:ascii="宋体" w:hAnsi="宋体" w:eastAsia="宋体" w:cs="Times New Roman"/>
                <w:sz w:val="21"/>
                <w:szCs w:val="21"/>
                <w:lang w:val="en-US" w:eastAsia="zh-CN"/>
              </w:rPr>
            </w:pPr>
            <w:r>
              <w:rPr>
                <w:rFonts w:hint="eastAsia" w:ascii="宋体" w:hAnsi="宋体" w:cs="宋体"/>
                <w:sz w:val="21"/>
                <w:szCs w:val="21"/>
                <w:lang w:eastAsia="zh-CN"/>
              </w:rPr>
              <w:t>【</w:t>
            </w:r>
            <w:r>
              <w:rPr>
                <w:rFonts w:hint="eastAsia" w:ascii="宋体" w:hAnsi="宋体" w:cs="宋体"/>
                <w:sz w:val="21"/>
                <w:szCs w:val="21"/>
              </w:rPr>
              <w:t>提供</w:t>
            </w:r>
            <w:r>
              <w:rPr>
                <w:rFonts w:hint="eastAsia" w:ascii="宋体" w:hAnsi="宋体" w:cs="宋体"/>
                <w:sz w:val="21"/>
                <w:szCs w:val="21"/>
                <w:lang w:val="en-US" w:eastAsia="zh-CN"/>
              </w:rPr>
              <w:t>2022</w:t>
            </w:r>
            <w:r>
              <w:rPr>
                <w:rFonts w:hint="eastAsia" w:ascii="宋体" w:hAnsi="宋体" w:cs="宋体"/>
                <w:sz w:val="21"/>
                <w:szCs w:val="21"/>
              </w:rPr>
              <w:t>年任意</w:t>
            </w:r>
            <w:r>
              <w:rPr>
                <w:rFonts w:hint="eastAsia" w:ascii="宋体" w:hAnsi="宋体" w:cs="宋体"/>
                <w:sz w:val="21"/>
                <w:szCs w:val="21"/>
                <w:lang w:val="en-US" w:eastAsia="zh-CN"/>
              </w:rPr>
              <w:t>1</w:t>
            </w:r>
            <w:r>
              <w:rPr>
                <w:rFonts w:hint="eastAsia" w:ascii="宋体" w:hAnsi="宋体" w:cs="宋体"/>
                <w:sz w:val="21"/>
                <w:szCs w:val="21"/>
              </w:rPr>
              <w:t>个月缴纳税收的凭据证明材料复印件；如依法免税的，应提供相关材料</w:t>
            </w:r>
            <w:r>
              <w:rPr>
                <w:rFonts w:hint="eastAsia" w:ascii="宋体" w:hAnsi="宋体" w:cs="宋体"/>
                <w:sz w:val="21"/>
                <w:szCs w:val="21"/>
                <w:lang w:eastAsia="zh-C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jc w:val="center"/>
              <w:rPr>
                <w:rFonts w:hint="default" w:ascii="宋体" w:hAnsi="宋体"/>
                <w:sz w:val="21"/>
                <w:szCs w:val="21"/>
                <w:lang w:val="en-US" w:eastAsia="zh-CN"/>
              </w:rPr>
            </w:pPr>
            <w:r>
              <w:rPr>
                <w:rFonts w:hint="eastAsia" w:ascii="宋体" w:hAnsi="宋体"/>
                <w:sz w:val="21"/>
                <w:szCs w:val="21"/>
                <w:lang w:val="en-US" w:eastAsia="zh-CN"/>
              </w:rPr>
              <w:t>3</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rPr>
                <w:rFonts w:hint="eastAsia" w:ascii="宋体" w:hAnsi="宋体" w:cs="宋体"/>
                <w:sz w:val="21"/>
                <w:szCs w:val="21"/>
              </w:rPr>
            </w:pPr>
            <w:r>
              <w:rPr>
                <w:rFonts w:hint="eastAsia" w:ascii="宋体" w:hAnsi="宋体" w:cs="宋体"/>
                <w:sz w:val="21"/>
                <w:szCs w:val="21"/>
              </w:rPr>
              <w:t>具有履行合同所必需的设备和专业技术能力</w:t>
            </w:r>
          </w:p>
          <w:p>
            <w:pPr>
              <w:spacing w:line="240" w:lineRule="auto"/>
              <w:rPr>
                <w:rFonts w:hint="eastAsia" w:ascii="宋体" w:hAnsi="宋体" w:eastAsia="宋体" w:cs="Times New Roman"/>
                <w:sz w:val="21"/>
                <w:szCs w:val="21"/>
                <w:lang w:val="en-US" w:eastAsia="zh-CN"/>
              </w:rPr>
            </w:pPr>
            <w:r>
              <w:rPr>
                <w:rFonts w:hint="eastAsia" w:ascii="宋体" w:hAnsi="宋体" w:cs="宋体"/>
                <w:sz w:val="21"/>
                <w:szCs w:val="21"/>
                <w:lang w:eastAsia="zh-CN"/>
              </w:rPr>
              <w:t>【</w:t>
            </w:r>
            <w:r>
              <w:rPr>
                <w:rFonts w:hint="eastAsia" w:ascii="宋体" w:hAnsi="宋体" w:cs="宋体"/>
                <w:sz w:val="21"/>
                <w:szCs w:val="21"/>
              </w:rPr>
              <w:t>提供《资格声明函》</w:t>
            </w:r>
            <w:r>
              <w:rPr>
                <w:rFonts w:hint="eastAsia" w:ascii="宋体" w:hAnsi="宋体" w:cs="宋体"/>
                <w:sz w:val="21"/>
                <w:szCs w:val="21"/>
                <w:lang w:eastAsia="zh-C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jc w:val="center"/>
              <w:rPr>
                <w:rFonts w:hint="default" w:ascii="宋体" w:hAnsi="宋体"/>
                <w:sz w:val="21"/>
                <w:szCs w:val="21"/>
                <w:lang w:val="en-US" w:eastAsia="zh-CN"/>
              </w:rPr>
            </w:pPr>
            <w:r>
              <w:rPr>
                <w:rFonts w:hint="eastAsia" w:ascii="宋体" w:hAnsi="宋体"/>
                <w:sz w:val="21"/>
                <w:szCs w:val="21"/>
                <w:lang w:val="en-US" w:eastAsia="zh-CN"/>
              </w:rPr>
              <w:t>4</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napToGrid w:val="0"/>
              <w:spacing w:line="240" w:lineRule="auto"/>
              <w:rPr>
                <w:rFonts w:hint="eastAsia" w:ascii="宋体" w:hAnsi="宋体" w:cs="宋体"/>
                <w:sz w:val="21"/>
                <w:szCs w:val="21"/>
              </w:rPr>
            </w:pPr>
            <w:r>
              <w:rPr>
                <w:rFonts w:hint="eastAsia" w:ascii="宋体" w:hAnsi="宋体" w:cs="宋体"/>
                <w:sz w:val="21"/>
                <w:szCs w:val="21"/>
              </w:rPr>
              <w:t>有依法缴纳税收和社会保障资金的良好记录</w:t>
            </w:r>
          </w:p>
          <w:p>
            <w:pPr>
              <w:snapToGrid w:val="0"/>
              <w:spacing w:line="240" w:lineRule="auto"/>
              <w:rPr>
                <w:rFonts w:hint="eastAsia" w:ascii="宋体" w:hAnsi="宋体" w:eastAsia="宋体" w:cs="Times New Roman"/>
                <w:sz w:val="21"/>
                <w:szCs w:val="21"/>
                <w:lang w:val="en-US" w:eastAsia="zh-CN"/>
              </w:rPr>
            </w:pPr>
            <w:r>
              <w:rPr>
                <w:rFonts w:hint="eastAsia" w:ascii="宋体" w:hAnsi="宋体" w:cs="宋体"/>
                <w:sz w:val="21"/>
                <w:szCs w:val="21"/>
                <w:lang w:eastAsia="zh-CN"/>
              </w:rPr>
              <w:t>【①</w:t>
            </w:r>
            <w:r>
              <w:rPr>
                <w:rFonts w:hint="eastAsia" w:ascii="宋体" w:hAnsi="宋体" w:cs="宋体"/>
                <w:sz w:val="21"/>
                <w:szCs w:val="21"/>
              </w:rPr>
              <w:t>提供</w:t>
            </w:r>
            <w:r>
              <w:rPr>
                <w:rFonts w:hint="eastAsia" w:ascii="宋体" w:hAnsi="宋体" w:cs="宋体"/>
                <w:sz w:val="21"/>
                <w:szCs w:val="21"/>
                <w:lang w:val="en-US" w:eastAsia="zh-CN"/>
              </w:rPr>
              <w:t>2022</w:t>
            </w:r>
            <w:r>
              <w:rPr>
                <w:rFonts w:hint="eastAsia" w:ascii="宋体" w:hAnsi="宋体" w:cs="宋体"/>
                <w:sz w:val="21"/>
                <w:szCs w:val="21"/>
              </w:rPr>
              <w:t>年任意</w:t>
            </w:r>
            <w:r>
              <w:rPr>
                <w:rFonts w:hint="eastAsia" w:ascii="宋体" w:hAnsi="宋体" w:cs="宋体"/>
                <w:sz w:val="21"/>
                <w:szCs w:val="21"/>
                <w:lang w:val="en-US" w:eastAsia="zh-CN"/>
              </w:rPr>
              <w:t>1</w:t>
            </w:r>
            <w:r>
              <w:rPr>
                <w:rFonts w:hint="eastAsia" w:ascii="宋体" w:hAnsi="宋体" w:cs="宋体"/>
                <w:sz w:val="21"/>
                <w:szCs w:val="21"/>
              </w:rPr>
              <w:t>个月缴纳税收的凭据证明材料复印件；如依法免税的，应提供相关材料；</w:t>
            </w:r>
            <w:r>
              <w:rPr>
                <w:rFonts w:hint="eastAsia" w:ascii="宋体" w:hAnsi="宋体" w:cs="宋体"/>
                <w:sz w:val="21"/>
                <w:szCs w:val="21"/>
                <w:lang w:eastAsia="zh-CN"/>
              </w:rPr>
              <w:t>②</w:t>
            </w:r>
            <w:r>
              <w:rPr>
                <w:rFonts w:hint="eastAsia" w:ascii="宋体" w:hAnsi="宋体" w:cs="宋体"/>
                <w:sz w:val="21"/>
                <w:szCs w:val="21"/>
              </w:rPr>
              <w:t>提供</w:t>
            </w:r>
            <w:r>
              <w:rPr>
                <w:rFonts w:hint="eastAsia" w:ascii="宋体" w:hAnsi="宋体" w:cs="宋体"/>
                <w:sz w:val="21"/>
                <w:szCs w:val="21"/>
                <w:lang w:val="en-US" w:eastAsia="zh-CN"/>
              </w:rPr>
              <w:t>2022</w:t>
            </w:r>
            <w:r>
              <w:rPr>
                <w:rFonts w:hint="eastAsia" w:ascii="宋体" w:hAnsi="宋体" w:cs="宋体"/>
                <w:sz w:val="21"/>
                <w:szCs w:val="21"/>
              </w:rPr>
              <w:t>年任意</w:t>
            </w:r>
            <w:r>
              <w:rPr>
                <w:rFonts w:hint="eastAsia" w:ascii="宋体" w:hAnsi="宋体" w:cs="宋体"/>
                <w:sz w:val="21"/>
                <w:szCs w:val="21"/>
                <w:lang w:val="en-US" w:eastAsia="zh-CN"/>
              </w:rPr>
              <w:t>1</w:t>
            </w:r>
            <w:r>
              <w:rPr>
                <w:rFonts w:hint="eastAsia" w:ascii="宋体" w:hAnsi="宋体" w:cs="宋体"/>
                <w:sz w:val="21"/>
                <w:szCs w:val="21"/>
              </w:rPr>
              <w:t>个月社会保障资金的凭据证明材料复印件；如依法不需要缴纳社会保障资金的，应提供相关材料</w:t>
            </w:r>
            <w:r>
              <w:rPr>
                <w:rFonts w:hint="eastAsia" w:ascii="宋体" w:hAnsi="宋体" w:cs="宋体"/>
                <w:sz w:val="21"/>
                <w:szCs w:val="21"/>
                <w:lang w:eastAsia="zh-C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napToGrid w:val="0"/>
              <w:spacing w:line="240" w:lineRule="auto"/>
              <w:rPr>
                <w:rFonts w:hint="eastAsia" w:ascii="宋体" w:hAnsi="宋体" w:cs="宋体"/>
                <w:sz w:val="21"/>
                <w:szCs w:val="21"/>
              </w:rPr>
            </w:pPr>
            <w:r>
              <w:rPr>
                <w:rFonts w:hint="eastAsia" w:ascii="宋体" w:hAnsi="宋体" w:cs="宋体"/>
                <w:sz w:val="21"/>
                <w:szCs w:val="21"/>
              </w:rPr>
              <w:t>在参加本项目投标活动前三年内，在经营活动中没有重大违法记录</w:t>
            </w:r>
          </w:p>
          <w:p>
            <w:pPr>
              <w:snapToGrid w:val="0"/>
              <w:spacing w:line="240" w:lineRule="auto"/>
              <w:rPr>
                <w:rFonts w:hint="eastAsia" w:ascii="宋体" w:hAnsi="宋体" w:eastAsia="宋体" w:cs="Times New Roman"/>
                <w:sz w:val="21"/>
                <w:szCs w:val="21"/>
                <w:lang w:val="en-US" w:eastAsia="zh-CN"/>
              </w:rPr>
            </w:pPr>
            <w:r>
              <w:rPr>
                <w:rFonts w:hint="eastAsia" w:ascii="宋体" w:hAnsi="宋体" w:cs="宋体"/>
                <w:sz w:val="21"/>
                <w:szCs w:val="21"/>
                <w:lang w:eastAsia="zh-CN"/>
              </w:rPr>
              <w:t>【</w:t>
            </w:r>
            <w:r>
              <w:rPr>
                <w:rFonts w:hint="eastAsia" w:ascii="宋体" w:hAnsi="宋体" w:cs="宋体"/>
                <w:sz w:val="21"/>
                <w:szCs w:val="21"/>
              </w:rPr>
              <w:t>提供《资格声明函》</w:t>
            </w:r>
            <w:r>
              <w:rPr>
                <w:rFonts w:hint="eastAsia" w:ascii="宋体" w:hAnsi="宋体" w:cs="宋体"/>
                <w:sz w:val="21"/>
                <w:szCs w:val="21"/>
                <w:lang w:eastAsia="zh-C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668" w:type="dxa"/>
            <w:tcBorders>
              <w:top w:val="outset" w:color="111111" w:sz="6" w:space="0"/>
              <w:left w:val="outset" w:color="111111" w:sz="6" w:space="0"/>
              <w:bottom w:val="outset" w:color="111111" w:sz="6" w:space="0"/>
              <w:right w:val="single" w:color="auto" w:sz="4" w:space="0"/>
            </w:tcBorders>
            <w:noWrap w:val="0"/>
            <w:vAlign w:val="center"/>
          </w:tcPr>
          <w:p>
            <w:pPr>
              <w:spacing w:line="240" w:lineRule="auto"/>
              <w:jc w:val="center"/>
              <w:rPr>
                <w:rFonts w:hint="default" w:ascii="宋体" w:hAnsi="宋体"/>
                <w:sz w:val="21"/>
                <w:szCs w:val="21"/>
                <w:lang w:val="en-US" w:eastAsia="zh-CN"/>
              </w:rPr>
            </w:pPr>
            <w:r>
              <w:rPr>
                <w:rFonts w:hint="eastAsia" w:ascii="宋体" w:hAnsi="宋体"/>
                <w:sz w:val="21"/>
                <w:szCs w:val="21"/>
                <w:lang w:val="en-US" w:eastAsia="zh-CN"/>
              </w:rPr>
              <w:t>6</w:t>
            </w:r>
          </w:p>
        </w:tc>
        <w:tc>
          <w:tcPr>
            <w:tcW w:w="7859" w:type="dxa"/>
            <w:tcBorders>
              <w:top w:val="outset" w:color="111111" w:sz="6" w:space="0"/>
              <w:left w:val="outset" w:color="111111" w:sz="6" w:space="0"/>
              <w:bottom w:val="outset" w:color="111111" w:sz="6" w:space="0"/>
              <w:right w:val="single" w:color="auto" w:sz="4" w:space="0"/>
            </w:tcBorders>
            <w:noWrap w:val="0"/>
            <w:vAlign w:val="center"/>
          </w:tcPr>
          <w:p>
            <w:pPr>
              <w:snapToGrid w:val="0"/>
              <w:spacing w:line="240" w:lineRule="auto"/>
              <w:rPr>
                <w:rFonts w:hint="eastAsia" w:ascii="宋体" w:hAnsi="宋体" w:cs="宋体"/>
                <w:sz w:val="21"/>
                <w:szCs w:val="21"/>
              </w:rPr>
            </w:pPr>
            <w:r>
              <w:rPr>
                <w:rFonts w:hint="eastAsia" w:ascii="宋体" w:hAnsi="宋体" w:cs="宋体"/>
                <w:sz w:val="21"/>
                <w:szCs w:val="21"/>
              </w:rPr>
              <w:t>本项目</w:t>
            </w:r>
            <w:r>
              <w:rPr>
                <w:rFonts w:hint="eastAsia" w:ascii="宋体" w:hAnsi="宋体" w:cs="宋体"/>
                <w:sz w:val="21"/>
                <w:szCs w:val="21"/>
                <w:highlight w:val="none"/>
              </w:rPr>
              <w:t>不允许联合</w:t>
            </w:r>
            <w:r>
              <w:rPr>
                <w:rFonts w:hint="eastAsia" w:ascii="宋体" w:hAnsi="宋体" w:cs="宋体"/>
                <w:sz w:val="21"/>
                <w:szCs w:val="21"/>
                <w:highlight w:val="none"/>
                <w:lang w:eastAsia="zh-CN"/>
              </w:rPr>
              <w:t>响应</w:t>
            </w:r>
          </w:p>
        </w:tc>
      </w:tr>
    </w:tbl>
    <w:p>
      <w:pPr>
        <w:pStyle w:val="2"/>
        <w:spacing w:line="360" w:lineRule="auto"/>
        <w:rPr>
          <w:rFonts w:hint="eastAsia"/>
          <w:sz w:val="21"/>
          <w:szCs w:val="21"/>
          <w:lang w:eastAsia="zh-CN"/>
        </w:rPr>
      </w:pPr>
    </w:p>
    <w:p>
      <w:pPr>
        <w:pStyle w:val="2"/>
        <w:spacing w:line="360" w:lineRule="auto"/>
        <w:rPr>
          <w:rFonts w:hint="eastAsia" w:eastAsiaTheme="minorEastAsia"/>
          <w:sz w:val="21"/>
          <w:szCs w:val="21"/>
          <w:lang w:eastAsia="zh-CN"/>
        </w:rPr>
      </w:pPr>
      <w:r>
        <w:rPr>
          <w:rFonts w:hint="eastAsia"/>
          <w:sz w:val="21"/>
          <w:szCs w:val="21"/>
          <w:lang w:eastAsia="zh-CN"/>
        </w:rPr>
        <w:t>注：</w:t>
      </w:r>
    </w:p>
    <w:p>
      <w:pPr>
        <w:tabs>
          <w:tab w:val="left" w:pos="540"/>
          <w:tab w:val="left" w:pos="900"/>
        </w:tabs>
        <w:spacing w:line="240" w:lineRule="auto"/>
        <w:rPr>
          <w:rFonts w:ascii="宋体" w:hAnsi="宋体"/>
          <w:sz w:val="21"/>
          <w:szCs w:val="21"/>
        </w:rPr>
      </w:pPr>
      <w:r>
        <w:rPr>
          <w:rFonts w:hint="eastAsia" w:ascii="宋体" w:hAnsi="宋体"/>
          <w:sz w:val="21"/>
          <w:szCs w:val="21"/>
        </w:rPr>
        <w:t>1、每一项目符合的打“√</w:t>
      </w:r>
      <w:r>
        <w:rPr>
          <w:rFonts w:ascii="宋体" w:hAnsi="宋体"/>
          <w:sz w:val="21"/>
          <w:szCs w:val="21"/>
        </w:rPr>
        <w:t>”</w:t>
      </w:r>
      <w:r>
        <w:rPr>
          <w:rFonts w:hint="eastAsia" w:ascii="宋体" w:hAnsi="宋体"/>
          <w:sz w:val="21"/>
          <w:szCs w:val="21"/>
        </w:rPr>
        <w:t>，不符合的打“×”；出现一个“×”的结论为不通过；</w:t>
      </w:r>
    </w:p>
    <w:p>
      <w:pPr>
        <w:tabs>
          <w:tab w:val="left" w:pos="540"/>
          <w:tab w:val="left" w:pos="900"/>
        </w:tabs>
        <w:spacing w:line="240" w:lineRule="auto"/>
        <w:rPr>
          <w:rFonts w:ascii="宋体" w:hAnsi="宋体"/>
          <w:sz w:val="21"/>
          <w:szCs w:val="21"/>
        </w:rPr>
      </w:pPr>
      <w:r>
        <w:rPr>
          <w:rFonts w:hint="eastAsia" w:ascii="宋体" w:hAnsi="宋体"/>
          <w:sz w:val="21"/>
          <w:szCs w:val="21"/>
        </w:rPr>
        <w:t>2、表中全部条件满足为通过</w:t>
      </w:r>
      <w:r>
        <w:rPr>
          <w:rFonts w:ascii="宋体" w:hAnsi="宋体"/>
          <w:sz w:val="21"/>
          <w:szCs w:val="21"/>
        </w:rPr>
        <w:t xml:space="preserve">, </w:t>
      </w:r>
      <w:r>
        <w:rPr>
          <w:rFonts w:hint="eastAsia" w:ascii="宋体" w:hAnsi="宋体"/>
          <w:sz w:val="21"/>
          <w:szCs w:val="21"/>
        </w:rPr>
        <w:t>则</w:t>
      </w:r>
      <w:r>
        <w:rPr>
          <w:rFonts w:ascii="宋体" w:hAnsi="宋体"/>
          <w:sz w:val="21"/>
          <w:szCs w:val="21"/>
        </w:rPr>
        <w:t>进入下一阶段评议；</w:t>
      </w:r>
    </w:p>
    <w:p>
      <w:pPr>
        <w:tabs>
          <w:tab w:val="left" w:pos="540"/>
          <w:tab w:val="left" w:pos="900"/>
        </w:tabs>
        <w:spacing w:line="240" w:lineRule="auto"/>
        <w:rPr>
          <w:rFonts w:ascii="宋体" w:hAnsi="宋体"/>
          <w:sz w:val="21"/>
          <w:szCs w:val="21"/>
        </w:rPr>
      </w:pPr>
      <w:r>
        <w:rPr>
          <w:rFonts w:hint="eastAsia" w:ascii="宋体" w:hAnsi="宋体"/>
          <w:sz w:val="21"/>
          <w:szCs w:val="21"/>
        </w:rPr>
        <w:t>3、是否通过资格性审查一栏中应写 “通过”或“不通过”。</w:t>
      </w:r>
    </w:p>
    <w:p>
      <w:pPr>
        <w:tabs>
          <w:tab w:val="left" w:pos="540"/>
          <w:tab w:val="left" w:pos="900"/>
        </w:tabs>
        <w:spacing w:line="240" w:lineRule="auto"/>
        <w:rPr>
          <w:rFonts w:ascii="宋体" w:hAnsi="宋体"/>
          <w:sz w:val="21"/>
          <w:szCs w:val="21"/>
        </w:rPr>
      </w:pPr>
      <w:r>
        <w:rPr>
          <w:rFonts w:hint="eastAsia" w:ascii="宋体" w:hAnsi="宋体"/>
          <w:sz w:val="21"/>
          <w:szCs w:val="21"/>
        </w:rPr>
        <w:t>4、结论汇总意见采取少数服从多数原则，即超过半数评委的结论为“通过”，则该供应商通过</w:t>
      </w:r>
      <w:r>
        <w:rPr>
          <w:rFonts w:ascii="宋体" w:hAnsi="宋体"/>
          <w:sz w:val="21"/>
          <w:szCs w:val="21"/>
        </w:rPr>
        <w:t>资格审查</w:t>
      </w:r>
      <w:r>
        <w:rPr>
          <w:rFonts w:hint="eastAsia" w:ascii="宋体" w:hAnsi="宋体"/>
          <w:sz w:val="21"/>
          <w:szCs w:val="21"/>
        </w:rPr>
        <w:t>，否则不通过。</w:t>
      </w: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r>
        <w:rPr>
          <w:rFonts w:hint="eastAsia"/>
          <w:sz w:val="21"/>
          <w:szCs w:val="21"/>
          <w:lang w:val="en-US" w:eastAsia="zh-CN"/>
        </w:rPr>
        <w:t>②符合性审查标准</w:t>
      </w:r>
    </w:p>
    <w:p>
      <w:pPr>
        <w:pStyle w:val="3"/>
        <w:keepNext w:val="0"/>
        <w:keepLines w:val="0"/>
        <w:widowControl/>
        <w:numPr>
          <w:ilvl w:val="0"/>
          <w:numId w:val="3"/>
        </w:numPr>
        <w:adjustRightInd/>
        <w:spacing w:before="188" w:after="188" w:line="400" w:lineRule="exact"/>
        <w:jc w:val="center"/>
        <w:textAlignment w:val="auto"/>
        <w:rPr>
          <w:rFonts w:hint="eastAsia" w:ascii="宋体" w:hAnsi="宋体" w:eastAsia="宋体"/>
          <w:sz w:val="21"/>
          <w:szCs w:val="21"/>
        </w:rPr>
      </w:pPr>
      <w:r>
        <w:rPr>
          <w:rFonts w:hint="eastAsia" w:ascii="宋体" w:hAnsi="宋体" w:eastAsia="宋体"/>
          <w:sz w:val="21"/>
          <w:szCs w:val="21"/>
        </w:rPr>
        <w:t>符合性审查自查表</w:t>
      </w:r>
    </w:p>
    <w:tbl>
      <w:tblPr>
        <w:tblStyle w:val="6"/>
        <w:tblpPr w:leftFromText="180" w:rightFromText="180" w:vertAnchor="text" w:horzAnchor="page" w:tblpX="1401" w:tblpY="221"/>
        <w:tblOverlap w:val="never"/>
        <w:tblW w:w="8736"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771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020" w:type="dxa"/>
            <w:tcBorders>
              <w:lef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序号</w:t>
            </w:r>
          </w:p>
        </w:tc>
        <w:tc>
          <w:tcPr>
            <w:tcW w:w="7716" w:type="dxa"/>
            <w:tcBorders>
              <w:left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rPr>
              <w:t>审查内容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1</w:t>
            </w:r>
          </w:p>
        </w:tc>
        <w:tc>
          <w:tcPr>
            <w:tcW w:w="7716" w:type="dxa"/>
            <w:tcBorders>
              <w:left w:val="single" w:color="auto" w:sz="4" w:space="0"/>
              <w:right w:val="single" w:color="auto" w:sz="4" w:space="0"/>
            </w:tcBorders>
            <w:noWrap w:val="0"/>
            <w:vAlign w:val="center"/>
          </w:tcPr>
          <w:p>
            <w:pPr>
              <w:rPr>
                <w:rFonts w:hint="eastAsia"/>
                <w:lang w:eastAsia="zh-CN"/>
              </w:rPr>
            </w:pPr>
            <w:r>
              <w:rPr>
                <w:rFonts w:hint="eastAsia"/>
              </w:rPr>
              <w:t>磋商响应函</w:t>
            </w:r>
            <w:r>
              <w:rPr>
                <w:rFonts w:hint="eastAsia"/>
                <w:lang w:eastAsia="zh-CN"/>
              </w:rPr>
              <w:t>按对应响应文件格式内容提交</w:t>
            </w:r>
          </w:p>
          <w:p>
            <w:pPr>
              <w:pStyle w:val="2"/>
              <w:rPr>
                <w:rFonts w:hint="eastAsia"/>
              </w:rPr>
            </w:pPr>
            <w:r>
              <w:rPr>
                <w:rFonts w:hint="eastAsia" w:ascii="宋体" w:hAnsi="宋体" w:eastAsia="宋体" w:cs="宋体"/>
                <w:bCs/>
                <w:kern w:val="2"/>
                <w:sz w:val="21"/>
                <w:szCs w:val="21"/>
                <w:lang w:eastAsia="zh-CN"/>
              </w:rPr>
              <w:t>【</w:t>
            </w:r>
            <w:r>
              <w:rPr>
                <w:rFonts w:hint="eastAsia" w:ascii="宋体" w:hAnsi="宋体" w:eastAsia="宋体" w:cs="宋体"/>
                <w:bCs/>
                <w:kern w:val="2"/>
                <w:sz w:val="21"/>
                <w:szCs w:val="21"/>
              </w:rPr>
              <w:t>提供《</w:t>
            </w:r>
            <w:r>
              <w:rPr>
                <w:rFonts w:hint="eastAsia"/>
              </w:rPr>
              <w:t>磋商响应函</w:t>
            </w:r>
            <w:r>
              <w:rPr>
                <w:rFonts w:hint="eastAsia" w:ascii="宋体" w:hAnsi="宋体" w:eastAsia="宋体" w:cs="宋体"/>
                <w:bCs/>
                <w:kern w:val="2"/>
                <w:sz w:val="21"/>
                <w:szCs w:val="21"/>
              </w:rPr>
              <w:t>》</w:t>
            </w:r>
            <w:r>
              <w:rPr>
                <w:rFonts w:hint="eastAsia" w:ascii="宋体" w:hAnsi="宋体" w:eastAsia="宋体" w:cs="宋体"/>
                <w:bCs/>
                <w:kern w:val="2"/>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7716" w:type="dxa"/>
            <w:tcBorders>
              <w:left w:val="single" w:color="auto" w:sz="4" w:space="0"/>
              <w:right w:val="single" w:color="auto" w:sz="4" w:space="0"/>
            </w:tcBorders>
            <w:noWrap w:val="0"/>
            <w:vAlign w:val="center"/>
          </w:tcPr>
          <w:p>
            <w:pPr>
              <w:rPr>
                <w:rFonts w:hint="eastAsia"/>
              </w:rPr>
            </w:pPr>
            <w:r>
              <w:rPr>
                <w:rFonts w:hint="eastAsia"/>
              </w:rPr>
              <w:t>按招标文件要求缴纳</w:t>
            </w:r>
            <w:r>
              <w:rPr>
                <w:rFonts w:hint="eastAsia"/>
                <w:lang w:eastAsia="zh-CN"/>
              </w:rPr>
              <w:t>磋商</w:t>
            </w:r>
            <w:r>
              <w:rPr>
                <w:rFonts w:hint="eastAsia"/>
              </w:rPr>
              <w:t>保证金</w:t>
            </w:r>
          </w:p>
          <w:p>
            <w:pPr>
              <w:pStyle w:val="2"/>
              <w:rPr>
                <w:rFonts w:hint="eastAsia" w:eastAsia="宋体"/>
                <w:lang w:eastAsia="zh-CN"/>
              </w:rPr>
            </w:pPr>
            <w:r>
              <w:rPr>
                <w:rFonts w:hint="eastAsia" w:ascii="宋体" w:hAnsi="宋体"/>
                <w:sz w:val="21"/>
                <w:szCs w:val="21"/>
                <w:lang w:eastAsia="zh-CN"/>
              </w:rPr>
              <w:t>【提供《</w:t>
            </w:r>
            <w:r>
              <w:rPr>
                <w:rFonts w:hint="eastAsia" w:ascii="宋体" w:hAnsi="宋体"/>
                <w:sz w:val="21"/>
                <w:szCs w:val="21"/>
              </w:rPr>
              <w:t>投标保证金汇款声明函</w:t>
            </w:r>
            <w:r>
              <w:rPr>
                <w:rFonts w:hint="eastAsia" w:ascii="宋体" w:hAnsi="宋体"/>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7716" w:type="dxa"/>
            <w:tcBorders>
              <w:left w:val="single" w:color="auto" w:sz="4" w:space="0"/>
              <w:right w:val="single" w:color="auto" w:sz="4" w:space="0"/>
            </w:tcBorders>
            <w:noWrap w:val="0"/>
            <w:vAlign w:val="center"/>
          </w:tcPr>
          <w:p>
            <w:pPr>
              <w:rPr>
                <w:rFonts w:hint="eastAsia" w:ascii="宋体" w:hAnsi="宋体" w:cs="宋体"/>
                <w:sz w:val="21"/>
                <w:szCs w:val="21"/>
              </w:rPr>
            </w:pPr>
            <w:r>
              <w:rPr>
                <w:rFonts w:hint="eastAsia" w:ascii="宋体" w:hAnsi="宋体" w:cs="宋体"/>
                <w:sz w:val="21"/>
              </w:rPr>
              <w:t>法定代表人证明书、法定代表人授权委托书（如有）已提交并符合</w:t>
            </w:r>
            <w:r>
              <w:rPr>
                <w:rFonts w:hint="eastAsia" w:ascii="宋体" w:hAnsi="宋体" w:cs="宋体"/>
                <w:sz w:val="21"/>
                <w:lang w:eastAsia="zh-CN"/>
              </w:rPr>
              <w:t>磋商</w:t>
            </w:r>
            <w:r>
              <w:rPr>
                <w:rFonts w:hint="eastAsia" w:ascii="宋体" w:hAnsi="宋体" w:cs="宋体"/>
                <w:sz w:val="21"/>
              </w:rPr>
              <w:t>文件要求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01"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4</w:t>
            </w:r>
          </w:p>
        </w:tc>
        <w:tc>
          <w:tcPr>
            <w:tcW w:w="7716" w:type="dxa"/>
            <w:tcBorders>
              <w:left w:val="single" w:color="auto" w:sz="4" w:space="0"/>
              <w:right w:val="single" w:color="auto" w:sz="4" w:space="0"/>
            </w:tcBorders>
            <w:noWrap w:val="0"/>
            <w:vAlign w:val="center"/>
          </w:tcPr>
          <w:p>
            <w:pPr>
              <w:snapToGrid w:val="0"/>
              <w:spacing w:line="264" w:lineRule="auto"/>
              <w:rPr>
                <w:rFonts w:hint="eastAsia" w:eastAsia="宋体"/>
                <w:lang w:eastAsia="zh-CN"/>
              </w:rPr>
            </w:pPr>
            <w:r>
              <w:rPr>
                <w:rFonts w:hint="eastAsia"/>
              </w:rPr>
              <w:t>投标报价未超过本项目最高限价的；</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7716" w:type="dxa"/>
            <w:tcBorders>
              <w:left w:val="single" w:color="auto" w:sz="4" w:space="0"/>
              <w:right w:val="single" w:color="auto" w:sz="4" w:space="0"/>
            </w:tcBorders>
            <w:noWrap w:val="0"/>
            <w:vAlign w:val="center"/>
          </w:tcPr>
          <w:p>
            <w:pPr>
              <w:rPr>
                <w:rFonts w:hint="eastAsia" w:ascii="宋体" w:hAnsi="宋体" w:cs="宋体"/>
                <w:sz w:val="21"/>
                <w:szCs w:val="21"/>
              </w:rPr>
            </w:pPr>
            <w:r>
              <w:rPr>
                <w:rFonts w:hint="eastAsia" w:ascii="宋体" w:hAnsi="宋体"/>
                <w:sz w:val="21"/>
                <w:szCs w:val="21"/>
              </w:rPr>
              <w:t>如有报价修正</w:t>
            </w:r>
            <w:r>
              <w:rPr>
                <w:rFonts w:ascii="宋体" w:hAnsi="宋体"/>
                <w:sz w:val="21"/>
                <w:szCs w:val="21"/>
              </w:rPr>
              <w:t>,</w:t>
            </w:r>
            <w:r>
              <w:rPr>
                <w:rFonts w:hint="eastAsia" w:ascii="宋体" w:hAnsi="宋体"/>
                <w:sz w:val="21"/>
                <w:szCs w:val="21"/>
                <w:lang w:eastAsia="zh-CN"/>
              </w:rPr>
              <w:t>供应商</w:t>
            </w:r>
            <w:r>
              <w:rPr>
                <w:rFonts w:hint="eastAsia" w:ascii="宋体" w:hAnsi="宋体"/>
                <w:sz w:val="21"/>
                <w:szCs w:val="21"/>
              </w:rPr>
              <w:t>按规定要求书面确认</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7716" w:type="dxa"/>
            <w:tcBorders>
              <w:left w:val="single" w:color="auto" w:sz="4" w:space="0"/>
              <w:right w:val="single" w:color="auto" w:sz="4" w:space="0"/>
            </w:tcBorders>
            <w:noWrap w:val="0"/>
            <w:vAlign w:val="center"/>
          </w:tcPr>
          <w:p>
            <w:pPr>
              <w:rPr>
                <w:rFonts w:hint="eastAsia" w:ascii="宋体" w:hAnsi="宋体" w:cs="宋体"/>
                <w:sz w:val="21"/>
                <w:szCs w:val="21"/>
              </w:rPr>
            </w:pPr>
            <w:r>
              <w:rPr>
                <w:rFonts w:hint="eastAsia" w:ascii="宋体" w:hAnsi="宋体" w:cs="宋体"/>
                <w:sz w:val="21"/>
                <w:szCs w:val="21"/>
                <w:lang w:eastAsia="zh-CN"/>
              </w:rPr>
              <w:t>响应</w:t>
            </w:r>
            <w:r>
              <w:rPr>
                <w:rFonts w:hint="eastAsia" w:ascii="宋体" w:hAnsi="宋体" w:cs="宋体"/>
                <w:sz w:val="21"/>
                <w:szCs w:val="21"/>
              </w:rPr>
              <w:t>文件已按招标文件要求签署、盖章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7</w:t>
            </w:r>
          </w:p>
        </w:tc>
        <w:tc>
          <w:tcPr>
            <w:tcW w:w="7716" w:type="dxa"/>
            <w:tcBorders>
              <w:left w:val="single" w:color="auto" w:sz="4" w:space="0"/>
              <w:right w:val="single" w:color="auto" w:sz="4" w:space="0"/>
            </w:tcBorders>
            <w:noWrap w:val="0"/>
            <w:vAlign w:val="center"/>
          </w:tcPr>
          <w:p>
            <w:pPr>
              <w:rPr>
                <w:rFonts w:ascii="宋体" w:hAnsi="宋体" w:cs="宋体"/>
                <w:sz w:val="21"/>
                <w:szCs w:val="21"/>
              </w:rPr>
            </w:pPr>
            <w:r>
              <w:rPr>
                <w:rFonts w:hint="eastAsia" w:ascii="宋体" w:hAnsi="宋体" w:cs="宋体"/>
                <w:sz w:val="21"/>
                <w:szCs w:val="21"/>
              </w:rPr>
              <w:t>实质性响应指标（招标文件中标注★的条款）</w:t>
            </w:r>
            <w:r>
              <w:rPr>
                <w:rFonts w:hint="eastAsia" w:ascii="宋体" w:hAnsi="宋体"/>
                <w:sz w:val="21"/>
                <w:szCs w:val="21"/>
              </w:rPr>
              <w:t>满足</w:t>
            </w:r>
            <w:r>
              <w:rPr>
                <w:rFonts w:hint="eastAsia" w:ascii="宋体" w:hAnsi="宋体"/>
                <w:sz w:val="21"/>
                <w:szCs w:val="21"/>
                <w:lang w:eastAsia="zh-CN"/>
              </w:rPr>
              <w:t>采购人</w:t>
            </w:r>
            <w:r>
              <w:rPr>
                <w:rFonts w:hint="eastAsia" w:ascii="宋体" w:hAnsi="宋体"/>
                <w:sz w:val="21"/>
                <w:szCs w:val="21"/>
              </w:rPr>
              <w:t>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8</w:t>
            </w:r>
          </w:p>
        </w:tc>
        <w:tc>
          <w:tcPr>
            <w:tcW w:w="7716" w:type="dxa"/>
            <w:tcBorders>
              <w:left w:val="single" w:color="auto" w:sz="4" w:space="0"/>
              <w:right w:val="single" w:color="auto" w:sz="4" w:space="0"/>
            </w:tcBorders>
            <w:noWrap w:val="0"/>
            <w:vAlign w:val="center"/>
          </w:tcPr>
          <w:p>
            <w:pPr>
              <w:rPr>
                <w:rFonts w:hint="eastAsia" w:ascii="宋体" w:hAnsi="宋体" w:cs="宋体"/>
                <w:sz w:val="21"/>
                <w:szCs w:val="21"/>
              </w:rPr>
            </w:pPr>
            <w:r>
              <w:rPr>
                <w:rFonts w:hint="eastAsia" w:ascii="宋体" w:hAnsi="宋体" w:cs="宋体"/>
                <w:sz w:val="21"/>
                <w:lang w:eastAsia="zh-CN"/>
              </w:rPr>
              <w:t>响应</w:t>
            </w:r>
            <w:r>
              <w:rPr>
                <w:rFonts w:hint="eastAsia" w:ascii="宋体" w:hAnsi="宋体" w:cs="宋体"/>
                <w:sz w:val="21"/>
              </w:rPr>
              <w:t>文件未含有招标人不能接受的附加条件的</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020" w:type="dxa"/>
            <w:tcBorders>
              <w:lef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w:t>
            </w:r>
          </w:p>
        </w:tc>
        <w:tc>
          <w:tcPr>
            <w:tcW w:w="7716" w:type="dxa"/>
            <w:tcBorders>
              <w:left w:val="single" w:color="auto" w:sz="4" w:space="0"/>
              <w:right w:val="single" w:color="auto" w:sz="4" w:space="0"/>
            </w:tcBorders>
            <w:noWrap w:val="0"/>
            <w:vAlign w:val="center"/>
          </w:tcPr>
          <w:p>
            <w:pPr>
              <w:rPr>
                <w:rFonts w:hint="eastAsia" w:ascii="宋体" w:hAnsi="宋体" w:cs="宋体"/>
                <w:sz w:val="21"/>
                <w:szCs w:val="21"/>
              </w:rPr>
            </w:pPr>
            <w:r>
              <w:rPr>
                <w:rFonts w:hint="eastAsia" w:ascii="宋体" w:hAnsi="宋体" w:cs="宋体"/>
                <w:sz w:val="21"/>
                <w:szCs w:val="21"/>
              </w:rPr>
              <w:t>不存在有关法律、法规、规章或招标文件属于无效</w:t>
            </w:r>
            <w:r>
              <w:rPr>
                <w:rFonts w:hint="eastAsia" w:ascii="宋体" w:hAnsi="宋体" w:cs="宋体"/>
                <w:sz w:val="21"/>
                <w:szCs w:val="21"/>
                <w:lang w:eastAsia="zh-CN"/>
              </w:rPr>
              <w:t>响应</w:t>
            </w:r>
            <w:r>
              <w:rPr>
                <w:rFonts w:hint="eastAsia" w:ascii="宋体" w:hAnsi="宋体" w:cs="宋体"/>
                <w:sz w:val="21"/>
                <w:szCs w:val="21"/>
              </w:rPr>
              <w:t>的情形</w:t>
            </w:r>
          </w:p>
        </w:tc>
      </w:tr>
    </w:tbl>
    <w:p>
      <w:pPr>
        <w:pStyle w:val="2"/>
        <w:numPr>
          <w:ilvl w:val="0"/>
          <w:numId w:val="0"/>
        </w:numPr>
        <w:spacing w:line="360" w:lineRule="auto"/>
        <w:ind w:left="420" w:leftChars="0"/>
        <w:rPr>
          <w:rFonts w:hint="default"/>
          <w:sz w:val="21"/>
          <w:szCs w:val="21"/>
          <w:lang w:val="en-US"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rPr>
          <w:rFonts w:hint="eastAsia"/>
          <w:sz w:val="21"/>
          <w:szCs w:val="21"/>
          <w:lang w:eastAsia="zh-CN"/>
        </w:rPr>
      </w:pPr>
    </w:p>
    <w:p>
      <w:pPr>
        <w:pStyle w:val="2"/>
        <w:spacing w:line="360" w:lineRule="auto"/>
        <w:jc w:val="both"/>
        <w:rPr>
          <w:rFonts w:hint="eastAsia"/>
          <w:sz w:val="21"/>
          <w:szCs w:val="21"/>
          <w:lang w:eastAsia="zh-CN"/>
        </w:rPr>
      </w:pPr>
    </w:p>
    <w:p>
      <w:pPr>
        <w:pStyle w:val="2"/>
        <w:spacing w:line="360" w:lineRule="auto"/>
        <w:jc w:val="both"/>
        <w:rPr>
          <w:rFonts w:hint="eastAsia" w:eastAsiaTheme="minorEastAsia"/>
          <w:sz w:val="21"/>
          <w:szCs w:val="21"/>
          <w:lang w:eastAsia="zh-CN"/>
        </w:rPr>
      </w:pPr>
      <w:r>
        <w:rPr>
          <w:rFonts w:hint="eastAsia"/>
          <w:sz w:val="21"/>
          <w:szCs w:val="21"/>
          <w:lang w:eastAsia="zh-CN"/>
        </w:rPr>
        <w:t>注：</w:t>
      </w:r>
    </w:p>
    <w:p>
      <w:pPr>
        <w:tabs>
          <w:tab w:val="left" w:pos="540"/>
          <w:tab w:val="left" w:pos="900"/>
        </w:tabs>
        <w:spacing w:line="240" w:lineRule="auto"/>
        <w:rPr>
          <w:rFonts w:ascii="宋体" w:hAnsi="宋体"/>
          <w:sz w:val="21"/>
          <w:szCs w:val="21"/>
        </w:rPr>
      </w:pPr>
      <w:r>
        <w:rPr>
          <w:rFonts w:hint="eastAsia" w:ascii="宋体" w:hAnsi="宋体"/>
          <w:sz w:val="21"/>
          <w:szCs w:val="21"/>
        </w:rPr>
        <w:t>1、每一项目符合的打“√</w:t>
      </w:r>
      <w:r>
        <w:rPr>
          <w:rFonts w:ascii="宋体" w:hAnsi="宋体"/>
          <w:sz w:val="21"/>
          <w:szCs w:val="21"/>
        </w:rPr>
        <w:t>”</w:t>
      </w:r>
      <w:r>
        <w:rPr>
          <w:rFonts w:hint="eastAsia" w:ascii="宋体" w:hAnsi="宋体"/>
          <w:sz w:val="21"/>
          <w:szCs w:val="21"/>
        </w:rPr>
        <w:t>，不符合的打“×”；出现一个“×”的结论为不通过；</w:t>
      </w:r>
    </w:p>
    <w:p>
      <w:pPr>
        <w:tabs>
          <w:tab w:val="left" w:pos="540"/>
          <w:tab w:val="left" w:pos="900"/>
        </w:tabs>
        <w:spacing w:line="240" w:lineRule="auto"/>
        <w:rPr>
          <w:rFonts w:ascii="宋体" w:hAnsi="宋体"/>
          <w:sz w:val="21"/>
          <w:szCs w:val="21"/>
        </w:rPr>
      </w:pPr>
      <w:r>
        <w:rPr>
          <w:rFonts w:hint="eastAsia" w:ascii="宋体" w:hAnsi="宋体"/>
          <w:sz w:val="21"/>
          <w:szCs w:val="21"/>
        </w:rPr>
        <w:t>2、表中全部条件满足为通过</w:t>
      </w:r>
      <w:r>
        <w:rPr>
          <w:rFonts w:ascii="宋体" w:hAnsi="宋体"/>
          <w:sz w:val="21"/>
          <w:szCs w:val="21"/>
        </w:rPr>
        <w:t xml:space="preserve">, </w:t>
      </w:r>
      <w:r>
        <w:rPr>
          <w:rFonts w:hint="eastAsia" w:ascii="宋体" w:hAnsi="宋体"/>
          <w:sz w:val="21"/>
          <w:szCs w:val="21"/>
        </w:rPr>
        <w:t>则</w:t>
      </w:r>
      <w:r>
        <w:rPr>
          <w:rFonts w:ascii="宋体" w:hAnsi="宋体"/>
          <w:sz w:val="21"/>
          <w:szCs w:val="21"/>
        </w:rPr>
        <w:t>进入下一阶段评议；</w:t>
      </w:r>
    </w:p>
    <w:p>
      <w:pPr>
        <w:tabs>
          <w:tab w:val="left" w:pos="540"/>
          <w:tab w:val="left" w:pos="900"/>
        </w:tabs>
        <w:spacing w:line="240" w:lineRule="auto"/>
        <w:rPr>
          <w:rFonts w:ascii="宋体" w:hAnsi="宋体"/>
          <w:sz w:val="21"/>
          <w:szCs w:val="21"/>
        </w:rPr>
      </w:pPr>
      <w:r>
        <w:rPr>
          <w:rFonts w:hint="eastAsia" w:ascii="宋体" w:hAnsi="宋体"/>
          <w:sz w:val="21"/>
          <w:szCs w:val="21"/>
        </w:rPr>
        <w:t>3、是否通过资格性审查一栏中应写 “通过”或“不通过”。</w:t>
      </w:r>
    </w:p>
    <w:p>
      <w:pPr>
        <w:tabs>
          <w:tab w:val="left" w:pos="540"/>
          <w:tab w:val="left" w:pos="900"/>
        </w:tabs>
        <w:spacing w:line="240" w:lineRule="auto"/>
        <w:rPr>
          <w:rFonts w:ascii="宋体" w:hAnsi="宋体"/>
          <w:sz w:val="21"/>
          <w:szCs w:val="21"/>
        </w:rPr>
      </w:pPr>
      <w:r>
        <w:rPr>
          <w:rFonts w:hint="eastAsia" w:ascii="宋体" w:hAnsi="宋体"/>
          <w:sz w:val="21"/>
          <w:szCs w:val="21"/>
        </w:rPr>
        <w:t>4、结论汇总意见采取少数服从多数原则，即超过半数评委的结论为“通过”，则该供应商通过</w:t>
      </w:r>
      <w:r>
        <w:rPr>
          <w:rFonts w:ascii="宋体" w:hAnsi="宋体"/>
          <w:sz w:val="21"/>
          <w:szCs w:val="21"/>
        </w:rPr>
        <w:t>资格审查</w:t>
      </w:r>
      <w:r>
        <w:rPr>
          <w:rFonts w:hint="eastAsia" w:ascii="宋体" w:hAnsi="宋体"/>
          <w:sz w:val="21"/>
          <w:szCs w:val="21"/>
        </w:rPr>
        <w:t>，否则不通过。</w:t>
      </w: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firstLine="847" w:firstLineChars="0"/>
        <w:rPr>
          <w:rFonts w:hint="default"/>
          <w:sz w:val="21"/>
          <w:szCs w:val="21"/>
          <w:lang w:val="en-US" w:eastAsia="zh-CN"/>
        </w:rPr>
      </w:pPr>
    </w:p>
    <w:p>
      <w:pPr>
        <w:pStyle w:val="2"/>
        <w:numPr>
          <w:ilvl w:val="0"/>
          <w:numId w:val="0"/>
        </w:numPr>
        <w:spacing w:line="360" w:lineRule="auto"/>
        <w:ind w:left="420" w:leftChars="0" w:firstLine="847" w:firstLineChars="0"/>
        <w:rPr>
          <w:rFonts w:hint="default"/>
          <w:sz w:val="21"/>
          <w:szCs w:val="21"/>
          <w:lang w:val="en-US" w:eastAsia="zh-CN"/>
        </w:rPr>
      </w:pPr>
      <w:bookmarkStart w:id="0" w:name="_GoBack"/>
      <w:bookmarkEnd w:id="0"/>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eastAsia"/>
          <w:sz w:val="21"/>
          <w:szCs w:val="21"/>
          <w:lang w:val="en-US" w:eastAsia="zh-CN"/>
        </w:rPr>
      </w:pPr>
      <w:r>
        <w:rPr>
          <w:rFonts w:hint="eastAsia"/>
          <w:sz w:val="21"/>
          <w:szCs w:val="21"/>
          <w:lang w:val="en-US" w:eastAsia="zh-CN"/>
        </w:rPr>
        <w:t>③技术评分标准</w:t>
      </w:r>
    </w:p>
    <w:p>
      <w:pPr>
        <w:pStyle w:val="2"/>
        <w:numPr>
          <w:ilvl w:val="0"/>
          <w:numId w:val="0"/>
        </w:numPr>
        <w:spacing w:line="360" w:lineRule="auto"/>
        <w:ind w:left="420" w:leftChars="0"/>
        <w:jc w:val="center"/>
        <w:rPr>
          <w:rFonts w:hint="eastAsia"/>
          <w:sz w:val="21"/>
          <w:szCs w:val="21"/>
          <w:lang w:val="en-US" w:eastAsia="zh-CN"/>
        </w:rPr>
      </w:pPr>
      <w:r>
        <w:rPr>
          <w:rFonts w:hint="eastAsia"/>
          <w:sz w:val="21"/>
          <w:szCs w:val="21"/>
          <w:lang w:val="en-US" w:eastAsia="zh-CN"/>
        </w:rPr>
        <w:t>技术评分表</w:t>
      </w:r>
    </w:p>
    <w:tbl>
      <w:tblPr>
        <w:tblStyle w:val="6"/>
        <w:tblW w:w="9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3"/>
        <w:gridCol w:w="1144"/>
        <w:gridCol w:w="602"/>
        <w:gridCol w:w="71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tblHeader/>
          <w:jc w:val="center"/>
        </w:trPr>
        <w:tc>
          <w:tcPr>
            <w:tcW w:w="613"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105" w:leftChars="-50" w:right="-92" w:rightChars="-44"/>
              <w:jc w:val="center"/>
              <w:rPr>
                <w:rFonts w:eastAsiaTheme="minorEastAsia"/>
                <w:b/>
                <w:szCs w:val="21"/>
              </w:rPr>
            </w:pPr>
            <w:r>
              <w:rPr>
                <w:rFonts w:eastAsiaTheme="minorEastAsia"/>
                <w:b/>
                <w:szCs w:val="21"/>
              </w:rPr>
              <w:t>序号</w:t>
            </w:r>
          </w:p>
        </w:tc>
        <w:tc>
          <w:tcPr>
            <w:tcW w:w="114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78" w:leftChars="-37" w:right="-73" w:rightChars="-35"/>
              <w:jc w:val="center"/>
              <w:rPr>
                <w:rFonts w:eastAsiaTheme="minorEastAsia"/>
                <w:b/>
                <w:szCs w:val="21"/>
              </w:rPr>
            </w:pPr>
            <w:r>
              <w:rPr>
                <w:rFonts w:eastAsiaTheme="minorEastAsia"/>
                <w:b/>
                <w:szCs w:val="21"/>
              </w:rPr>
              <w:t>评审项目</w:t>
            </w:r>
          </w:p>
        </w:tc>
        <w:tc>
          <w:tcPr>
            <w:tcW w:w="602"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78" w:leftChars="-37" w:right="-73" w:rightChars="-35"/>
              <w:jc w:val="center"/>
              <w:rPr>
                <w:rFonts w:eastAsiaTheme="minorEastAsia"/>
                <w:b/>
                <w:szCs w:val="21"/>
              </w:rPr>
            </w:pPr>
            <w:r>
              <w:rPr>
                <w:rFonts w:eastAsiaTheme="minorEastAsia"/>
                <w:b/>
                <w:szCs w:val="21"/>
              </w:rPr>
              <w:t>分值</w:t>
            </w:r>
          </w:p>
        </w:tc>
        <w:tc>
          <w:tcPr>
            <w:tcW w:w="7163"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78" w:leftChars="-37" w:right="-73" w:rightChars="-35"/>
              <w:jc w:val="center"/>
              <w:rPr>
                <w:rFonts w:eastAsiaTheme="minorEastAsia"/>
                <w:b/>
                <w:szCs w:val="21"/>
              </w:rPr>
            </w:pPr>
            <w:r>
              <w:rPr>
                <w:rFonts w:eastAsiaTheme="minorEastAsia"/>
                <w:b/>
                <w:szCs w:val="21"/>
              </w:rPr>
              <w:t>评分范围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13" w:type="dxa"/>
            <w:tcBorders>
              <w:top w:val="single" w:color="auto" w:sz="8" w:space="0"/>
              <w:left w:val="single" w:color="auto" w:sz="8" w:space="0"/>
              <w:bottom w:val="single" w:color="auto" w:sz="8" w:space="0"/>
              <w:right w:val="single" w:color="auto" w:sz="8" w:space="0"/>
            </w:tcBorders>
            <w:vAlign w:val="center"/>
          </w:tcPr>
          <w:p>
            <w:pPr>
              <w:numPr>
                <w:ilvl w:val="0"/>
                <w:numId w:val="4"/>
              </w:numPr>
              <w:tabs>
                <w:tab w:val="clear" w:pos="846"/>
              </w:tabs>
              <w:snapToGrid w:val="0"/>
              <w:spacing w:line="240" w:lineRule="atLeast"/>
              <w:ind w:hanging="631"/>
              <w:jc w:val="center"/>
              <w:rPr>
                <w:rFonts w:ascii="宋体" w:hAnsi="宋体" w:cs="宋体"/>
                <w:szCs w:val="21"/>
              </w:rPr>
            </w:pPr>
          </w:p>
        </w:tc>
        <w:tc>
          <w:tcPr>
            <w:tcW w:w="1144"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ind w:left="-78" w:leftChars="-37" w:right="-73" w:rightChars="-35"/>
              <w:jc w:val="center"/>
              <w:rPr>
                <w:rFonts w:ascii="宋体" w:hAnsi="宋体" w:cs="宋体"/>
                <w:szCs w:val="21"/>
              </w:rPr>
            </w:pPr>
            <w:r>
              <w:rPr>
                <w:rFonts w:hint="eastAsia" w:ascii="宋体" w:hAnsi="宋体" w:cs="宋体"/>
                <w:szCs w:val="21"/>
              </w:rPr>
              <w:t>设计和实施方案</w:t>
            </w:r>
          </w:p>
        </w:tc>
        <w:tc>
          <w:tcPr>
            <w:tcW w:w="602"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7163"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宋体" w:hAnsi="宋体" w:cs="宋体"/>
                <w:szCs w:val="21"/>
              </w:rPr>
            </w:pPr>
            <w:r>
              <w:rPr>
                <w:rFonts w:hint="eastAsia" w:ascii="宋体" w:hAnsi="宋体" w:cs="宋体"/>
                <w:szCs w:val="21"/>
              </w:rPr>
              <w:t>根据响应供应商提供的项目设计和实施方案及相关的合理化建议；</w:t>
            </w:r>
          </w:p>
          <w:p>
            <w:pPr>
              <w:widowControl/>
              <w:spacing w:line="240" w:lineRule="atLeast"/>
              <w:jc w:val="left"/>
              <w:rPr>
                <w:rFonts w:hint="eastAsia" w:ascii="宋体" w:hAnsi="宋体" w:cs="宋体"/>
                <w:szCs w:val="21"/>
              </w:rPr>
            </w:pPr>
            <w:r>
              <w:rPr>
                <w:rFonts w:hint="eastAsia" w:ascii="宋体" w:hAnsi="宋体" w:cs="宋体"/>
                <w:szCs w:val="21"/>
              </w:rPr>
              <w:t>1、方案有针对性，符合项目实际情况，完整、合理得1</w:t>
            </w:r>
            <w:r>
              <w:rPr>
                <w:rFonts w:ascii="宋体" w:hAnsi="宋体" w:cs="宋体"/>
                <w:szCs w:val="21"/>
              </w:rPr>
              <w:t>0</w:t>
            </w:r>
            <w:r>
              <w:rPr>
                <w:rFonts w:hint="eastAsia" w:ascii="宋体" w:hAnsi="宋体" w:cs="宋体"/>
                <w:szCs w:val="21"/>
              </w:rPr>
              <w:t>分；</w:t>
            </w:r>
          </w:p>
          <w:p>
            <w:pPr>
              <w:widowControl/>
              <w:spacing w:line="240" w:lineRule="atLeast"/>
              <w:jc w:val="left"/>
              <w:rPr>
                <w:rFonts w:ascii="宋体" w:hAnsi="宋体" w:cs="宋体"/>
                <w:szCs w:val="21"/>
              </w:rPr>
            </w:pPr>
            <w:r>
              <w:rPr>
                <w:rFonts w:hint="eastAsia" w:ascii="宋体" w:hAnsi="宋体" w:cs="宋体"/>
                <w:szCs w:val="21"/>
              </w:rPr>
              <w:t>2、方案比较符合项目实际情况，较为完整得</w:t>
            </w:r>
            <w:r>
              <w:rPr>
                <w:rFonts w:ascii="宋体" w:hAnsi="宋体" w:cs="宋体"/>
                <w:szCs w:val="21"/>
              </w:rPr>
              <w:t>5</w:t>
            </w:r>
            <w:r>
              <w:rPr>
                <w:rFonts w:hint="eastAsia" w:ascii="宋体" w:hAnsi="宋体" w:cs="宋体"/>
                <w:szCs w:val="21"/>
              </w:rPr>
              <w:t>分；</w:t>
            </w:r>
          </w:p>
          <w:p>
            <w:pPr>
              <w:widowControl/>
              <w:spacing w:line="240" w:lineRule="atLeast"/>
              <w:jc w:val="left"/>
              <w:rPr>
                <w:rFonts w:hint="eastAsia" w:ascii="宋体" w:hAnsi="宋体" w:cs="宋体"/>
                <w:szCs w:val="21"/>
              </w:rPr>
            </w:pPr>
            <w:r>
              <w:rPr>
                <w:rFonts w:hint="eastAsia" w:ascii="宋体" w:hAnsi="宋体" w:cs="宋体"/>
                <w:szCs w:val="21"/>
              </w:rPr>
              <w:t>3、方案一般的得</w:t>
            </w:r>
            <w:r>
              <w:rPr>
                <w:rFonts w:ascii="宋体" w:hAnsi="宋体" w:cs="宋体"/>
                <w:szCs w:val="21"/>
              </w:rPr>
              <w:t>3</w:t>
            </w:r>
            <w:r>
              <w:rPr>
                <w:rFonts w:hint="eastAsia" w:ascii="宋体" w:hAnsi="宋体" w:cs="宋体"/>
                <w:szCs w:val="21"/>
              </w:rPr>
              <w:t>分；</w:t>
            </w:r>
          </w:p>
          <w:p>
            <w:pPr>
              <w:widowControl/>
              <w:spacing w:line="240" w:lineRule="atLeast"/>
              <w:jc w:val="left"/>
              <w:rPr>
                <w:rFonts w:ascii="宋体" w:hAnsi="宋体" w:cs="宋体"/>
                <w:szCs w:val="21"/>
              </w:rPr>
            </w:pPr>
            <w:r>
              <w:rPr>
                <w:rFonts w:hint="eastAsia" w:ascii="宋体" w:hAnsi="宋体" w:cs="宋体"/>
                <w:szCs w:val="21"/>
              </w:rPr>
              <w:t>4、未提供或提供的方案没有针对性得 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13" w:type="dxa"/>
            <w:tcBorders>
              <w:top w:val="single" w:color="auto" w:sz="8" w:space="0"/>
              <w:left w:val="single" w:color="auto" w:sz="8" w:space="0"/>
              <w:bottom w:val="single" w:color="auto" w:sz="8" w:space="0"/>
              <w:right w:val="single" w:color="auto" w:sz="8" w:space="0"/>
            </w:tcBorders>
            <w:vAlign w:val="center"/>
          </w:tcPr>
          <w:p>
            <w:pPr>
              <w:numPr>
                <w:ilvl w:val="0"/>
                <w:numId w:val="4"/>
              </w:numPr>
              <w:tabs>
                <w:tab w:val="clear" w:pos="846"/>
              </w:tabs>
              <w:snapToGrid w:val="0"/>
              <w:spacing w:line="240" w:lineRule="atLeast"/>
              <w:ind w:hanging="631"/>
              <w:jc w:val="center"/>
              <w:rPr>
                <w:rFonts w:ascii="宋体" w:hAnsi="宋体" w:cs="宋体"/>
                <w:szCs w:val="21"/>
              </w:rPr>
            </w:pPr>
          </w:p>
        </w:tc>
        <w:tc>
          <w:tcPr>
            <w:tcW w:w="1144"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ind w:left="-78" w:leftChars="-37" w:right="-73" w:rightChars="-35"/>
              <w:jc w:val="center"/>
              <w:rPr>
                <w:rFonts w:ascii="宋体" w:hAnsi="宋体" w:cs="宋体"/>
                <w:szCs w:val="21"/>
              </w:rPr>
            </w:pPr>
            <w:r>
              <w:rPr>
                <w:rFonts w:hint="eastAsia" w:ascii="宋体" w:hAnsi="宋体" w:cs="宋体"/>
                <w:szCs w:val="21"/>
              </w:rPr>
              <w:t>技术标准</w:t>
            </w:r>
          </w:p>
        </w:tc>
        <w:tc>
          <w:tcPr>
            <w:tcW w:w="602"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7163"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宋体" w:hAnsi="宋体" w:cs="宋体"/>
                <w:szCs w:val="21"/>
              </w:rPr>
            </w:pPr>
            <w:r>
              <w:rPr>
                <w:rFonts w:hint="eastAsia" w:ascii="宋体" w:hAnsi="宋体" w:cs="宋体"/>
                <w:szCs w:val="21"/>
              </w:rPr>
              <w:t>响应供应商提供的系统开发案例具备以下功能的，每满足一项得10分：</w:t>
            </w:r>
          </w:p>
          <w:p>
            <w:pPr>
              <w:widowControl/>
              <w:numPr>
                <w:ilvl w:val="0"/>
                <w:numId w:val="5"/>
              </w:numPr>
              <w:spacing w:line="240" w:lineRule="atLeast"/>
              <w:jc w:val="left"/>
            </w:pPr>
            <w:r>
              <w:rPr>
                <w:rFonts w:hint="eastAsia"/>
              </w:rPr>
              <w:t>系统具备移动端、网页端应用，移动端能够对受检单元进行问题采集，采集信息包括：自动获取经纬度、桩号。自动获取采集的时间、所在位置区属/总公司、镇街/公司。对问题类型进行选择、编辑问题描述及扣分情况和数量，并上传现场照片。支持问题查看功能，可以根据不同的筛选条件进行筛选。支持受检单元在该系统对问题进行整改反馈。</w:t>
            </w:r>
          </w:p>
          <w:p>
            <w:pPr>
              <w:widowControl/>
              <w:numPr>
                <w:ilvl w:val="0"/>
                <w:numId w:val="5"/>
              </w:numPr>
              <w:spacing w:line="240" w:lineRule="atLeast"/>
              <w:jc w:val="left"/>
            </w:pPr>
            <w:r>
              <w:rPr>
                <w:rFonts w:hint="eastAsia"/>
              </w:rPr>
              <w:t>系统网页端支持对采集的问题进行编辑和修改，然后反馈给受检单位进行整改。支持对问题进行查看，包括整改情况、整改状态。对巡检的问题进行受检单位和受检单元评分，同时支持问题处理的统计。</w:t>
            </w:r>
          </w:p>
          <w:p>
            <w:pPr>
              <w:widowControl/>
              <w:numPr>
                <w:ilvl w:val="0"/>
                <w:numId w:val="5"/>
              </w:numPr>
              <w:spacing w:line="240" w:lineRule="atLeast"/>
              <w:jc w:val="left"/>
            </w:pPr>
            <w:r>
              <w:rPr>
                <w:rFonts w:hint="eastAsia"/>
              </w:rPr>
              <w:t>系统具备用户自定义配置，包括用户角色、用户权限、增/减用户账号等。</w:t>
            </w:r>
          </w:p>
          <w:p>
            <w:pPr>
              <w:widowControl/>
              <w:spacing w:line="240" w:lineRule="atLeast"/>
              <w:jc w:val="left"/>
            </w:pPr>
            <w:r>
              <w:rPr>
                <w:rFonts w:hint="eastAsia"/>
              </w:rPr>
              <w:t>（证明材料：应提供能够证明符合要求的系统截图，并加盖响应供应商公章）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613" w:type="dxa"/>
            <w:tcBorders>
              <w:top w:val="single" w:color="auto" w:sz="8" w:space="0"/>
              <w:left w:val="single" w:color="auto" w:sz="8" w:space="0"/>
              <w:bottom w:val="single" w:color="auto" w:sz="8" w:space="0"/>
              <w:right w:val="single" w:color="auto" w:sz="8" w:space="0"/>
            </w:tcBorders>
            <w:vAlign w:val="center"/>
          </w:tcPr>
          <w:p>
            <w:pPr>
              <w:numPr>
                <w:ilvl w:val="0"/>
                <w:numId w:val="4"/>
              </w:numPr>
              <w:tabs>
                <w:tab w:val="clear" w:pos="846"/>
              </w:tabs>
              <w:snapToGrid w:val="0"/>
              <w:spacing w:line="240" w:lineRule="atLeast"/>
              <w:ind w:hanging="631"/>
              <w:jc w:val="center"/>
              <w:rPr>
                <w:rFonts w:ascii="宋体" w:hAnsi="宋体" w:cs="宋体"/>
                <w:szCs w:val="21"/>
              </w:rPr>
            </w:pPr>
          </w:p>
        </w:tc>
        <w:tc>
          <w:tcPr>
            <w:tcW w:w="1144"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ind w:left="-78" w:leftChars="-37" w:right="-73" w:rightChars="-35"/>
              <w:jc w:val="center"/>
              <w:rPr>
                <w:rFonts w:ascii="宋体" w:hAnsi="宋体" w:cs="宋体"/>
                <w:szCs w:val="21"/>
              </w:rPr>
            </w:pPr>
            <w:r>
              <w:rPr>
                <w:rFonts w:hint="eastAsia" w:ascii="宋体" w:hAnsi="宋体" w:cs="宋体"/>
                <w:szCs w:val="21"/>
              </w:rPr>
              <w:t>培训方案</w:t>
            </w:r>
          </w:p>
        </w:tc>
        <w:tc>
          <w:tcPr>
            <w:tcW w:w="602"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ascii="宋体" w:hAnsi="宋体" w:cs="宋体"/>
                <w:szCs w:val="21"/>
              </w:rPr>
            </w:pPr>
            <w:r>
              <w:rPr>
                <w:rFonts w:ascii="宋体" w:hAnsi="宋体" w:cs="宋体"/>
                <w:szCs w:val="21"/>
              </w:rPr>
              <w:t>5</w:t>
            </w:r>
          </w:p>
        </w:tc>
        <w:tc>
          <w:tcPr>
            <w:tcW w:w="7163" w:type="dxa"/>
            <w:tcBorders>
              <w:top w:val="single" w:color="auto" w:sz="8" w:space="0"/>
              <w:left w:val="single" w:color="auto" w:sz="8" w:space="0"/>
              <w:bottom w:val="single" w:color="auto" w:sz="8" w:space="0"/>
              <w:right w:val="single" w:color="auto" w:sz="8" w:space="0"/>
            </w:tcBorders>
          </w:tcPr>
          <w:p>
            <w:pPr>
              <w:widowControl/>
              <w:spacing w:line="240" w:lineRule="atLeast"/>
              <w:jc w:val="left"/>
              <w:rPr>
                <w:rFonts w:ascii="宋体" w:hAnsi="宋体" w:cs="宋体"/>
                <w:szCs w:val="21"/>
              </w:rPr>
            </w:pPr>
            <w:r>
              <w:rPr>
                <w:rFonts w:hint="eastAsia" w:ascii="宋体" w:hAnsi="宋体" w:cs="宋体"/>
                <w:szCs w:val="21"/>
              </w:rPr>
              <w:t>根据磋商文件的要求对培训方案进行综合评价：</w:t>
            </w:r>
          </w:p>
          <w:p>
            <w:pPr>
              <w:widowControl/>
              <w:numPr>
                <w:ilvl w:val="0"/>
                <w:numId w:val="0"/>
              </w:numPr>
              <w:spacing w:line="240" w:lineRule="atLeast"/>
              <w:jc w:val="left"/>
              <w:rPr>
                <w:rFonts w:ascii="宋体" w:hAnsi="宋体" w:cs="宋体"/>
                <w:szCs w:val="21"/>
              </w:rPr>
            </w:pPr>
            <w:r>
              <w:rPr>
                <w:rFonts w:hint="eastAsia" w:ascii="宋体" w:hAnsi="宋体" w:cs="宋体"/>
                <w:szCs w:val="21"/>
              </w:rPr>
              <w:t>有完整、可行的培训方案，必须明确具体培训计划、内容、方式、时间、对象以及培训目标，有专业的培训人员的。</w:t>
            </w:r>
          </w:p>
          <w:p>
            <w:pPr>
              <w:widowControl/>
              <w:spacing w:line="240" w:lineRule="atLeast"/>
              <w:jc w:val="left"/>
              <w:textAlignment w:val="center"/>
              <w:rPr>
                <w:rFonts w:ascii="宋体" w:hAnsi="宋体" w:cs="宋体"/>
                <w:bCs/>
                <w:snapToGrid w:val="0"/>
                <w:kern w:val="0"/>
                <w:szCs w:val="21"/>
              </w:rPr>
            </w:pPr>
            <w:r>
              <w:rPr>
                <w:rFonts w:hint="eastAsia" w:ascii="宋体" w:hAnsi="宋体" w:cs="宋体"/>
                <w:bCs/>
                <w:snapToGrid w:val="0"/>
                <w:kern w:val="0"/>
                <w:szCs w:val="21"/>
              </w:rPr>
              <w:t>优：提供的实施方案详细、全面，完全满足要求得</w:t>
            </w:r>
            <w:r>
              <w:rPr>
                <w:rFonts w:hint="eastAsia" w:ascii="宋体" w:hAnsi="宋体" w:cs="宋体"/>
                <w:bCs/>
                <w:snapToGrid w:val="0"/>
                <w:kern w:val="0"/>
                <w:szCs w:val="21"/>
                <w:lang w:val="en-US" w:eastAsia="zh-CN"/>
              </w:rPr>
              <w:t>5</w:t>
            </w:r>
            <w:r>
              <w:rPr>
                <w:rFonts w:hint="eastAsia" w:ascii="宋体" w:hAnsi="宋体" w:cs="宋体"/>
                <w:bCs/>
                <w:snapToGrid w:val="0"/>
                <w:kern w:val="0"/>
                <w:szCs w:val="21"/>
              </w:rPr>
              <w:t>分；</w:t>
            </w:r>
          </w:p>
          <w:p>
            <w:pPr>
              <w:widowControl/>
              <w:spacing w:line="240" w:lineRule="atLeast"/>
              <w:jc w:val="left"/>
              <w:textAlignment w:val="center"/>
              <w:rPr>
                <w:rFonts w:ascii="宋体" w:hAnsi="宋体" w:cs="宋体"/>
                <w:bCs/>
                <w:snapToGrid w:val="0"/>
                <w:kern w:val="0"/>
                <w:szCs w:val="21"/>
              </w:rPr>
            </w:pPr>
            <w:r>
              <w:rPr>
                <w:rFonts w:hint="eastAsia" w:ascii="宋体" w:hAnsi="宋体" w:cs="宋体"/>
                <w:bCs/>
                <w:snapToGrid w:val="0"/>
                <w:kern w:val="0"/>
                <w:szCs w:val="21"/>
              </w:rPr>
              <w:t>良：提供的实施方案较详细，基本满足要求得</w:t>
            </w:r>
            <w:r>
              <w:rPr>
                <w:rFonts w:ascii="宋体" w:hAnsi="宋体" w:cs="宋体"/>
                <w:bCs/>
                <w:snapToGrid w:val="0"/>
                <w:kern w:val="0"/>
                <w:szCs w:val="21"/>
              </w:rPr>
              <w:t>3</w:t>
            </w:r>
            <w:r>
              <w:rPr>
                <w:rFonts w:hint="eastAsia" w:ascii="宋体" w:hAnsi="宋体" w:cs="宋体"/>
                <w:bCs/>
                <w:snapToGrid w:val="0"/>
                <w:kern w:val="0"/>
                <w:szCs w:val="21"/>
              </w:rPr>
              <w:t>分；</w:t>
            </w:r>
          </w:p>
          <w:p>
            <w:pPr>
              <w:spacing w:line="240" w:lineRule="atLeast"/>
              <w:rPr>
                <w:rFonts w:ascii="宋体" w:hAnsi="宋体" w:cs="宋体"/>
                <w:snapToGrid w:val="0"/>
                <w:szCs w:val="21"/>
              </w:rPr>
            </w:pPr>
            <w:r>
              <w:rPr>
                <w:rFonts w:hint="eastAsia" w:ascii="宋体" w:hAnsi="宋体" w:cs="宋体"/>
                <w:snapToGrid w:val="0"/>
                <w:szCs w:val="21"/>
              </w:rPr>
              <w:t>中：提供的实施方案一般，一般满足要求得</w:t>
            </w:r>
            <w:r>
              <w:rPr>
                <w:rFonts w:ascii="宋体" w:hAnsi="宋体" w:cs="宋体"/>
                <w:snapToGrid w:val="0"/>
                <w:szCs w:val="21"/>
              </w:rPr>
              <w:t>2</w:t>
            </w:r>
            <w:r>
              <w:rPr>
                <w:rFonts w:hint="eastAsia" w:ascii="宋体" w:hAnsi="宋体" w:cs="宋体"/>
                <w:snapToGrid w:val="0"/>
                <w:szCs w:val="21"/>
              </w:rPr>
              <w:t>分；</w:t>
            </w:r>
          </w:p>
          <w:p>
            <w:pPr>
              <w:widowControl/>
              <w:spacing w:line="240" w:lineRule="atLeast"/>
              <w:jc w:val="left"/>
              <w:rPr>
                <w:rFonts w:ascii="宋体" w:hAnsi="宋体" w:cs="宋体"/>
                <w:snapToGrid w:val="0"/>
                <w:szCs w:val="21"/>
              </w:rPr>
            </w:pPr>
            <w:r>
              <w:rPr>
                <w:rFonts w:hint="eastAsia" w:ascii="宋体" w:hAnsi="宋体" w:cs="宋体"/>
                <w:snapToGrid w:val="0"/>
                <w:szCs w:val="21"/>
              </w:rPr>
              <w:t>差：提供的实施方案较差，</w:t>
            </w:r>
            <w:r>
              <w:rPr>
                <w:rFonts w:hint="eastAsia" w:ascii="宋体" w:hAnsi="宋体" w:cs="宋体"/>
                <w:bCs/>
                <w:snapToGrid w:val="0"/>
                <w:kern w:val="0"/>
                <w:szCs w:val="21"/>
              </w:rPr>
              <w:t>较难</w:t>
            </w:r>
            <w:r>
              <w:rPr>
                <w:rFonts w:hint="eastAsia" w:ascii="宋体" w:hAnsi="宋体" w:cs="宋体"/>
                <w:snapToGrid w:val="0"/>
                <w:szCs w:val="21"/>
              </w:rPr>
              <w:t>满足要求得</w:t>
            </w:r>
            <w:r>
              <w:rPr>
                <w:rFonts w:ascii="宋体" w:hAnsi="宋体" w:cs="宋体"/>
                <w:snapToGrid w:val="0"/>
                <w:szCs w:val="21"/>
              </w:rPr>
              <w:t>1</w:t>
            </w:r>
            <w:r>
              <w:rPr>
                <w:rFonts w:hint="eastAsia" w:ascii="宋体" w:hAnsi="宋体" w:cs="宋体"/>
                <w:snapToGrid w:val="0"/>
                <w:szCs w:val="21"/>
              </w:rPr>
              <w:t>分；</w:t>
            </w:r>
          </w:p>
          <w:p>
            <w:pPr>
              <w:widowControl/>
              <w:spacing w:line="240" w:lineRule="atLeast"/>
              <w:jc w:val="left"/>
              <w:rPr>
                <w:rFonts w:ascii="宋体" w:hAnsi="宋体" w:cs="宋体"/>
                <w:szCs w:val="21"/>
              </w:rPr>
            </w:pPr>
            <w:r>
              <w:rPr>
                <w:rFonts w:hint="eastAsia" w:ascii="宋体" w:hAnsi="宋体" w:cs="宋体"/>
                <w:kern w:val="0"/>
                <w:szCs w:val="21"/>
              </w:rPr>
              <w:t>未提供或提供的培训方案没有针对性得 0 分。</w:t>
            </w:r>
            <w:r>
              <w:rPr>
                <w:rFonts w:hint="eastAsia" w:ascii="宋体" w:hAnsi="宋体" w:cs="宋体"/>
                <w:szCs w:val="21"/>
              </w:rPr>
              <w:t>。</w:t>
            </w:r>
          </w:p>
          <w:p>
            <w:pPr>
              <w:widowControl/>
              <w:spacing w:line="240" w:lineRule="atLeast"/>
              <w:jc w:val="left"/>
              <w:rPr>
                <w:rFonts w:ascii="宋体" w:hAnsi="宋体" w:cs="宋体"/>
                <w:szCs w:val="21"/>
              </w:rPr>
            </w:pPr>
            <w:r>
              <w:rPr>
                <w:rFonts w:hint="eastAsia" w:ascii="宋体" w:hAnsi="宋体" w:cs="宋体"/>
                <w:szCs w:val="21"/>
              </w:rPr>
              <w:t>（证明材料：提供培训组负责人社保部门出具的</w:t>
            </w:r>
            <w:r>
              <w:rPr>
                <w:rFonts w:hint="eastAsia" w:ascii="宋体" w:hAnsi="宋体" w:cs="宋体"/>
                <w:szCs w:val="21"/>
                <w:lang w:val="en-GB"/>
              </w:rPr>
              <w:t>近</w:t>
            </w:r>
            <w:r>
              <w:rPr>
                <w:rFonts w:hint="eastAsia" w:ascii="宋体" w:hAnsi="宋体" w:cs="宋体"/>
                <w:szCs w:val="21"/>
              </w:rPr>
              <w:t>6个月</w:t>
            </w:r>
            <w:r>
              <w:rPr>
                <w:rFonts w:hint="eastAsia" w:ascii="宋体" w:hAnsi="宋体" w:cs="宋体"/>
                <w:szCs w:val="21"/>
                <w:lang w:val="en-GB"/>
              </w:rPr>
              <w:t>（扣除发布采购公告当月，往前顺推连续</w:t>
            </w:r>
            <w:r>
              <w:rPr>
                <w:rFonts w:hint="eastAsia" w:ascii="宋体" w:hAnsi="宋体" w:cs="宋体"/>
                <w:szCs w:val="21"/>
              </w:rPr>
              <w:t>6</w:t>
            </w:r>
            <w:r>
              <w:rPr>
                <w:rFonts w:hint="eastAsia" w:ascii="宋体" w:hAnsi="宋体" w:cs="宋体"/>
                <w:szCs w:val="21"/>
                <w:lang w:val="en-GB"/>
              </w:rPr>
              <w:t>个月）</w:t>
            </w:r>
            <w:r>
              <w:rPr>
                <w:rFonts w:hint="eastAsia" w:ascii="宋体" w:hAnsi="宋体" w:cs="宋体"/>
                <w:szCs w:val="21"/>
              </w:rPr>
              <w:t>在响应供应商单位购买社保的证明文件复印件、资格证书复印件并加盖供应商公章）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9" w:hRule="atLeast"/>
          <w:jc w:val="center"/>
        </w:trPr>
        <w:tc>
          <w:tcPr>
            <w:tcW w:w="613" w:type="dxa"/>
            <w:tcBorders>
              <w:top w:val="single" w:color="auto" w:sz="8" w:space="0"/>
              <w:left w:val="single" w:color="auto" w:sz="8" w:space="0"/>
              <w:bottom w:val="single" w:color="auto" w:sz="8" w:space="0"/>
              <w:right w:val="single" w:color="auto" w:sz="8" w:space="0"/>
            </w:tcBorders>
            <w:vAlign w:val="center"/>
          </w:tcPr>
          <w:p>
            <w:pPr>
              <w:numPr>
                <w:ilvl w:val="0"/>
                <w:numId w:val="4"/>
              </w:numPr>
              <w:tabs>
                <w:tab w:val="clear" w:pos="846"/>
              </w:tabs>
              <w:snapToGrid w:val="0"/>
              <w:spacing w:line="240" w:lineRule="atLeast"/>
              <w:ind w:hanging="631"/>
              <w:jc w:val="center"/>
              <w:rPr>
                <w:rFonts w:ascii="宋体" w:hAnsi="宋体" w:cs="宋体"/>
                <w:szCs w:val="21"/>
              </w:rPr>
            </w:pPr>
          </w:p>
        </w:tc>
        <w:tc>
          <w:tcPr>
            <w:tcW w:w="1144"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cs="宋体"/>
                <w:szCs w:val="21"/>
              </w:rPr>
            </w:pPr>
            <w:r>
              <w:rPr>
                <w:rFonts w:hint="eastAsia" w:ascii="宋体" w:hAnsi="宋体" w:cs="宋体"/>
                <w:szCs w:val="21"/>
              </w:rPr>
              <w:t>售后运维服务方案</w:t>
            </w:r>
          </w:p>
        </w:tc>
        <w:tc>
          <w:tcPr>
            <w:tcW w:w="602"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ascii="宋体" w:hAnsi="宋体" w:cs="宋体"/>
                <w:szCs w:val="21"/>
              </w:rPr>
            </w:pPr>
            <w:r>
              <w:rPr>
                <w:rFonts w:ascii="宋体" w:hAnsi="宋体" w:cs="宋体"/>
                <w:szCs w:val="21"/>
              </w:rPr>
              <w:t>5</w:t>
            </w:r>
          </w:p>
        </w:tc>
        <w:tc>
          <w:tcPr>
            <w:tcW w:w="7163" w:type="dxa"/>
            <w:tcBorders>
              <w:top w:val="single" w:color="auto" w:sz="8" w:space="0"/>
              <w:left w:val="single" w:color="auto" w:sz="8" w:space="0"/>
              <w:bottom w:val="single" w:color="auto" w:sz="8" w:space="0"/>
              <w:right w:val="single" w:color="auto" w:sz="8" w:space="0"/>
            </w:tcBorders>
          </w:tcPr>
          <w:p>
            <w:pPr>
              <w:widowControl/>
              <w:spacing w:line="240" w:lineRule="atLeast"/>
              <w:jc w:val="left"/>
              <w:rPr>
                <w:rFonts w:ascii="宋体" w:hAnsi="宋体" w:cs="宋体"/>
                <w:szCs w:val="21"/>
              </w:rPr>
            </w:pPr>
            <w:r>
              <w:rPr>
                <w:rFonts w:hint="eastAsia" w:ascii="宋体" w:hAnsi="宋体" w:cs="宋体"/>
                <w:szCs w:val="21"/>
              </w:rPr>
              <w:t>根据磋商文件的要求对售后运维服务方案进行综合评价。</w:t>
            </w:r>
          </w:p>
          <w:p>
            <w:pPr>
              <w:widowControl/>
              <w:spacing w:line="240" w:lineRule="atLeast"/>
              <w:jc w:val="left"/>
              <w:rPr>
                <w:rFonts w:ascii="宋体" w:hAnsi="宋体" w:cs="宋体"/>
                <w:szCs w:val="21"/>
              </w:rPr>
            </w:pPr>
            <w:r>
              <w:rPr>
                <w:rFonts w:hint="eastAsia" w:ascii="宋体" w:hAnsi="宋体" w:cs="宋体"/>
                <w:szCs w:val="21"/>
              </w:rPr>
              <w:t>1、售后运维服务方案完善、保证措施切实可行、服务计划周全，售后技术人员配备、应急维护时间承诺、质保期后维护方案合理的得</w:t>
            </w:r>
            <w:r>
              <w:rPr>
                <w:rFonts w:ascii="宋体" w:hAnsi="宋体" w:cs="宋体"/>
                <w:szCs w:val="21"/>
              </w:rPr>
              <w:t>5</w:t>
            </w:r>
            <w:r>
              <w:rPr>
                <w:rFonts w:hint="eastAsia" w:ascii="宋体" w:hAnsi="宋体" w:cs="宋体"/>
                <w:szCs w:val="21"/>
              </w:rPr>
              <w:t>分；</w:t>
            </w:r>
          </w:p>
          <w:p>
            <w:pPr>
              <w:widowControl/>
              <w:spacing w:line="240" w:lineRule="atLeast"/>
              <w:jc w:val="left"/>
              <w:rPr>
                <w:rFonts w:ascii="宋体" w:hAnsi="宋体" w:cs="宋体"/>
                <w:szCs w:val="21"/>
              </w:rPr>
            </w:pPr>
            <w:r>
              <w:rPr>
                <w:rFonts w:hint="eastAsia" w:ascii="宋体" w:hAnsi="宋体" w:cs="宋体"/>
                <w:szCs w:val="21"/>
              </w:rPr>
              <w:t>2、售后运维服务方案比较完善、保证措施有效的得</w:t>
            </w:r>
            <w:r>
              <w:rPr>
                <w:rFonts w:ascii="宋体" w:hAnsi="宋体" w:cs="宋体"/>
                <w:szCs w:val="21"/>
              </w:rPr>
              <w:t>3</w:t>
            </w:r>
            <w:r>
              <w:rPr>
                <w:rFonts w:hint="eastAsia" w:ascii="宋体" w:hAnsi="宋体" w:cs="宋体"/>
                <w:szCs w:val="21"/>
              </w:rPr>
              <w:t>分；</w:t>
            </w:r>
          </w:p>
          <w:p>
            <w:pPr>
              <w:widowControl/>
              <w:spacing w:line="240" w:lineRule="atLeast"/>
              <w:jc w:val="left"/>
              <w:rPr>
                <w:rFonts w:ascii="宋体" w:hAnsi="宋体" w:cs="宋体"/>
                <w:szCs w:val="21"/>
              </w:rPr>
            </w:pPr>
            <w:r>
              <w:rPr>
                <w:rFonts w:hint="eastAsia" w:ascii="宋体" w:hAnsi="宋体" w:cs="宋体"/>
                <w:szCs w:val="21"/>
              </w:rPr>
              <w:t>3、售后运维服务方案一般、保证措施较为合理的得</w:t>
            </w:r>
            <w:r>
              <w:rPr>
                <w:rFonts w:ascii="宋体" w:hAnsi="宋体" w:cs="宋体"/>
                <w:szCs w:val="21"/>
              </w:rPr>
              <w:t>1</w:t>
            </w:r>
            <w:r>
              <w:rPr>
                <w:rFonts w:hint="eastAsia" w:ascii="宋体" w:hAnsi="宋体" w:cs="宋体"/>
                <w:szCs w:val="21"/>
              </w:rPr>
              <w:t>分；</w:t>
            </w:r>
          </w:p>
          <w:p>
            <w:pPr>
              <w:widowControl/>
              <w:spacing w:line="240" w:lineRule="atLeast"/>
              <w:jc w:val="left"/>
              <w:rPr>
                <w:rFonts w:ascii="宋体" w:hAnsi="宋体" w:cs="宋体"/>
                <w:kern w:val="0"/>
                <w:szCs w:val="21"/>
              </w:rPr>
            </w:pPr>
            <w:r>
              <w:rPr>
                <w:rFonts w:hint="eastAsia" w:ascii="宋体" w:hAnsi="宋体" w:cs="宋体"/>
                <w:szCs w:val="21"/>
              </w:rPr>
              <w:t>4、未提供或提供的方案不符合本项目要求的得 0 分。</w:t>
            </w:r>
          </w:p>
        </w:tc>
      </w:tr>
    </w:tbl>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r>
        <w:rPr>
          <w:rFonts w:hint="eastAsia"/>
          <w:sz w:val="21"/>
          <w:szCs w:val="21"/>
          <w:lang w:val="en-US" w:eastAsia="zh-CN"/>
        </w:rPr>
        <w:t>③商务评分标准</w:t>
      </w:r>
    </w:p>
    <w:p>
      <w:pPr>
        <w:pStyle w:val="2"/>
        <w:numPr>
          <w:ilvl w:val="0"/>
          <w:numId w:val="0"/>
        </w:numPr>
        <w:spacing w:line="360" w:lineRule="auto"/>
        <w:ind w:left="420" w:leftChars="0"/>
        <w:jc w:val="center"/>
        <w:rPr>
          <w:rFonts w:hint="eastAsia"/>
          <w:sz w:val="21"/>
          <w:szCs w:val="21"/>
          <w:lang w:val="en-US" w:eastAsia="zh-CN"/>
        </w:rPr>
      </w:pPr>
      <w:r>
        <w:rPr>
          <w:rFonts w:hint="eastAsia"/>
          <w:sz w:val="21"/>
          <w:szCs w:val="21"/>
          <w:lang w:val="en-US" w:eastAsia="zh-CN"/>
        </w:rPr>
        <w:t>商务评分表</w:t>
      </w:r>
    </w:p>
    <w:tbl>
      <w:tblPr>
        <w:tblStyle w:val="6"/>
        <w:tblW w:w="100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12"/>
        <w:gridCol w:w="1038"/>
        <w:gridCol w:w="702"/>
        <w:gridCol w:w="7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tblHeader/>
          <w:jc w:val="center"/>
        </w:trPr>
        <w:tc>
          <w:tcPr>
            <w:tcW w:w="512"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63" w:leftChars="-30" w:right="-88" w:rightChars="-42"/>
              <w:jc w:val="center"/>
              <w:rPr>
                <w:rFonts w:eastAsiaTheme="minorEastAsia"/>
                <w:b/>
                <w:szCs w:val="21"/>
              </w:rPr>
            </w:pPr>
            <w:r>
              <w:rPr>
                <w:rFonts w:eastAsiaTheme="minorEastAsia"/>
                <w:b/>
                <w:szCs w:val="21"/>
              </w:rPr>
              <w:t>序号</w:t>
            </w:r>
          </w:p>
        </w:tc>
        <w:tc>
          <w:tcPr>
            <w:tcW w:w="1038"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63" w:leftChars="-30" w:right="-88" w:rightChars="-42"/>
              <w:jc w:val="center"/>
              <w:rPr>
                <w:rFonts w:eastAsiaTheme="minorEastAsia"/>
                <w:b/>
                <w:szCs w:val="21"/>
              </w:rPr>
            </w:pPr>
            <w:r>
              <w:rPr>
                <w:rFonts w:eastAsiaTheme="minorEastAsia"/>
                <w:b/>
                <w:szCs w:val="21"/>
              </w:rPr>
              <w:t>评审项目</w:t>
            </w:r>
          </w:p>
        </w:tc>
        <w:tc>
          <w:tcPr>
            <w:tcW w:w="702"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63" w:leftChars="-30" w:right="-88" w:rightChars="-42"/>
              <w:jc w:val="center"/>
              <w:rPr>
                <w:rFonts w:eastAsiaTheme="minorEastAsia"/>
                <w:b/>
                <w:szCs w:val="21"/>
              </w:rPr>
            </w:pPr>
            <w:r>
              <w:rPr>
                <w:rFonts w:eastAsiaTheme="minorEastAsia"/>
                <w:b/>
                <w:szCs w:val="21"/>
              </w:rPr>
              <w:t>分值</w:t>
            </w:r>
          </w:p>
        </w:tc>
        <w:tc>
          <w:tcPr>
            <w:tcW w:w="7803"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left="-63" w:leftChars="-30" w:right="-88" w:rightChars="-42"/>
              <w:jc w:val="center"/>
              <w:rPr>
                <w:rFonts w:eastAsiaTheme="minorEastAsia"/>
                <w:b/>
                <w:szCs w:val="21"/>
              </w:rPr>
            </w:pPr>
            <w:r>
              <w:rPr>
                <w:rFonts w:eastAsiaTheme="minorEastAsia"/>
                <w:b/>
                <w:szCs w:val="21"/>
              </w:rPr>
              <w:t>评分范围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1" w:hRule="atLeast"/>
          <w:jc w:val="center"/>
        </w:trPr>
        <w:tc>
          <w:tcPr>
            <w:tcW w:w="512" w:type="dxa"/>
            <w:tcBorders>
              <w:top w:val="single" w:color="auto" w:sz="8" w:space="0"/>
              <w:left w:val="single" w:color="auto" w:sz="8" w:space="0"/>
              <w:bottom w:val="single" w:color="auto" w:sz="8" w:space="0"/>
              <w:right w:val="single" w:color="auto" w:sz="8" w:space="0"/>
            </w:tcBorders>
            <w:vAlign w:val="center"/>
          </w:tcPr>
          <w:p>
            <w:pPr>
              <w:widowControl/>
              <w:jc w:val="center"/>
              <w:rPr>
                <w:color w:val="000000"/>
                <w:szCs w:val="21"/>
              </w:rPr>
            </w:pPr>
            <w:r>
              <w:rPr>
                <w:color w:val="000000"/>
                <w:szCs w:val="21"/>
              </w:rPr>
              <w:t>1</w:t>
            </w:r>
          </w:p>
        </w:tc>
        <w:tc>
          <w:tcPr>
            <w:tcW w:w="103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Cs w:val="21"/>
              </w:rPr>
            </w:pPr>
            <w:r>
              <w:rPr>
                <w:rFonts w:hint="eastAsia"/>
                <w:color w:val="000000"/>
                <w:szCs w:val="21"/>
              </w:rPr>
              <w:t>响应供应商通过相关认证情况</w:t>
            </w:r>
          </w:p>
        </w:tc>
        <w:tc>
          <w:tcPr>
            <w:tcW w:w="702" w:type="dxa"/>
            <w:tcBorders>
              <w:top w:val="single" w:color="auto" w:sz="8" w:space="0"/>
              <w:left w:val="single" w:color="auto" w:sz="8" w:space="0"/>
              <w:bottom w:val="single" w:color="auto" w:sz="8" w:space="0"/>
              <w:right w:val="single" w:color="auto" w:sz="8" w:space="0"/>
            </w:tcBorders>
            <w:vAlign w:val="center"/>
          </w:tcPr>
          <w:p>
            <w:pPr>
              <w:jc w:val="center"/>
              <w:rPr>
                <w:sz w:val="22"/>
                <w:szCs w:val="22"/>
              </w:rPr>
            </w:pPr>
            <w:r>
              <w:rPr>
                <w:sz w:val="22"/>
                <w:szCs w:val="22"/>
              </w:rPr>
              <w:t>6</w:t>
            </w:r>
          </w:p>
        </w:tc>
        <w:tc>
          <w:tcPr>
            <w:tcW w:w="7803" w:type="dxa"/>
            <w:tcBorders>
              <w:top w:val="single" w:color="auto" w:sz="8" w:space="0"/>
              <w:left w:val="single" w:color="auto" w:sz="8" w:space="0"/>
              <w:bottom w:val="single" w:color="auto" w:sz="8" w:space="0"/>
              <w:right w:val="single" w:color="auto" w:sz="8" w:space="0"/>
            </w:tcBorders>
            <w:vAlign w:val="center"/>
          </w:tcPr>
          <w:p>
            <w:pPr>
              <w:jc w:val="left"/>
              <w:rPr>
                <w:color w:val="000000"/>
                <w:szCs w:val="21"/>
              </w:rPr>
            </w:pPr>
            <w:r>
              <w:rPr>
                <w:rFonts w:hint="eastAsia"/>
                <w:color w:val="000000"/>
                <w:szCs w:val="21"/>
              </w:rPr>
              <w:t>(一)评分内容：</w:t>
            </w:r>
          </w:p>
          <w:p>
            <w:pPr>
              <w:jc w:val="left"/>
              <w:rPr>
                <w:color w:val="000000"/>
                <w:szCs w:val="21"/>
              </w:rPr>
            </w:pPr>
            <w:r>
              <w:rPr>
                <w:rFonts w:hint="eastAsia"/>
                <w:color w:val="000000"/>
                <w:szCs w:val="21"/>
              </w:rPr>
              <w:t>1. 供应商具有信息安全管理体系认证证书得</w:t>
            </w:r>
            <w:r>
              <w:rPr>
                <w:rFonts w:hint="eastAsia"/>
                <w:color w:val="000000"/>
                <w:szCs w:val="21"/>
                <w:lang w:val="en-US" w:eastAsia="zh-CN"/>
              </w:rPr>
              <w:t>2</w:t>
            </w:r>
            <w:r>
              <w:rPr>
                <w:rFonts w:hint="eastAsia"/>
                <w:color w:val="000000"/>
                <w:szCs w:val="21"/>
              </w:rPr>
              <w:t>分；</w:t>
            </w:r>
          </w:p>
          <w:p>
            <w:pPr>
              <w:jc w:val="left"/>
              <w:rPr>
                <w:color w:val="000000"/>
                <w:szCs w:val="21"/>
              </w:rPr>
            </w:pPr>
            <w:r>
              <w:rPr>
                <w:rFonts w:hint="eastAsia"/>
                <w:color w:val="000000"/>
                <w:szCs w:val="21"/>
              </w:rPr>
              <w:t>2. 具有信息技术服务管理体系认证证书得</w:t>
            </w:r>
            <w:r>
              <w:rPr>
                <w:color w:val="000000"/>
                <w:szCs w:val="21"/>
              </w:rPr>
              <w:t>1</w:t>
            </w:r>
            <w:r>
              <w:rPr>
                <w:rFonts w:hint="eastAsia"/>
                <w:color w:val="000000"/>
                <w:szCs w:val="21"/>
              </w:rPr>
              <w:t>分;</w:t>
            </w:r>
          </w:p>
          <w:p>
            <w:pPr>
              <w:jc w:val="left"/>
              <w:rPr>
                <w:color w:val="000000"/>
                <w:szCs w:val="21"/>
              </w:rPr>
            </w:pPr>
            <w:r>
              <w:rPr>
                <w:rFonts w:hint="eastAsia"/>
                <w:color w:val="000000"/>
                <w:szCs w:val="21"/>
              </w:rPr>
              <w:t>3. 具有环境管理体系认证证书得</w:t>
            </w:r>
            <w:r>
              <w:rPr>
                <w:color w:val="000000"/>
                <w:szCs w:val="21"/>
              </w:rPr>
              <w:t>1</w:t>
            </w:r>
            <w:r>
              <w:rPr>
                <w:rFonts w:hint="eastAsia"/>
                <w:color w:val="000000"/>
                <w:szCs w:val="21"/>
              </w:rPr>
              <w:t>分;</w:t>
            </w:r>
          </w:p>
          <w:p>
            <w:pPr>
              <w:jc w:val="left"/>
              <w:rPr>
                <w:color w:val="000000"/>
                <w:szCs w:val="21"/>
              </w:rPr>
            </w:pPr>
            <w:r>
              <w:rPr>
                <w:rFonts w:hint="eastAsia"/>
                <w:color w:val="000000"/>
                <w:szCs w:val="21"/>
              </w:rPr>
              <w:t>4. 具有职业健康安全管理体系认证证书的得</w:t>
            </w:r>
            <w:r>
              <w:rPr>
                <w:color w:val="000000"/>
                <w:szCs w:val="21"/>
              </w:rPr>
              <w:t>1</w:t>
            </w:r>
            <w:r>
              <w:rPr>
                <w:rFonts w:hint="eastAsia"/>
                <w:color w:val="000000"/>
                <w:szCs w:val="21"/>
              </w:rPr>
              <w:t>分;</w:t>
            </w:r>
          </w:p>
          <w:p>
            <w:pPr>
              <w:jc w:val="left"/>
              <w:rPr>
                <w:color w:val="000000"/>
                <w:szCs w:val="21"/>
              </w:rPr>
            </w:pPr>
            <w:r>
              <w:rPr>
                <w:rFonts w:hint="eastAsia"/>
                <w:color w:val="000000"/>
                <w:szCs w:val="21"/>
              </w:rPr>
              <w:t>5. 具有质量管理体系认证证书得</w:t>
            </w:r>
            <w:r>
              <w:rPr>
                <w:color w:val="000000"/>
                <w:szCs w:val="21"/>
              </w:rPr>
              <w:t>1</w:t>
            </w:r>
            <w:r>
              <w:rPr>
                <w:rFonts w:hint="eastAsia"/>
                <w:color w:val="000000"/>
                <w:szCs w:val="21"/>
              </w:rPr>
              <w:t>分</w:t>
            </w:r>
            <w:r>
              <w:rPr>
                <w:rFonts w:hint="eastAsia"/>
                <w:color w:val="000000"/>
                <w:szCs w:val="21"/>
                <w:lang w:eastAsia="zh-CN"/>
              </w:rPr>
              <w:t>；</w:t>
            </w:r>
          </w:p>
          <w:p>
            <w:pPr>
              <w:jc w:val="left"/>
              <w:rPr>
                <w:color w:val="000000"/>
                <w:szCs w:val="21"/>
              </w:rPr>
            </w:pPr>
            <w:r>
              <w:rPr>
                <w:rFonts w:hint="eastAsia"/>
                <w:color w:val="000000"/>
                <w:szCs w:val="21"/>
              </w:rPr>
              <w:t xml:space="preserve">（二）评分依据： </w:t>
            </w:r>
          </w:p>
          <w:p>
            <w:pPr>
              <w:jc w:val="left"/>
              <w:rPr>
                <w:color w:val="000000"/>
                <w:szCs w:val="21"/>
              </w:rPr>
            </w:pPr>
            <w:r>
              <w:rPr>
                <w:rFonts w:hint="eastAsia"/>
                <w:color w:val="000000"/>
                <w:szCs w:val="21"/>
              </w:rPr>
              <w:t xml:space="preserve">1.要求提供有效的认证证书作为得分依据。 </w:t>
            </w:r>
          </w:p>
          <w:p>
            <w:pPr>
              <w:jc w:val="left"/>
              <w:rPr>
                <w:color w:val="000000"/>
                <w:szCs w:val="21"/>
              </w:rPr>
            </w:pPr>
            <w:r>
              <w:rPr>
                <w:rFonts w:hint="eastAsia"/>
                <w:color w:val="000000"/>
                <w:szCs w:val="21"/>
              </w:rPr>
              <w:t>2.以上资料均要求提供扫描件（或官方网站截图）并加盖响应供应商公章。如评审中出现无证明资料或专家无法凭所提供资料判断是否得分的情况，一律作不得分处理。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1" w:hRule="atLeast"/>
          <w:jc w:val="center"/>
        </w:trPr>
        <w:tc>
          <w:tcPr>
            <w:tcW w:w="512" w:type="dxa"/>
            <w:tcBorders>
              <w:top w:val="single" w:color="auto" w:sz="8" w:space="0"/>
              <w:left w:val="single" w:color="auto" w:sz="8" w:space="0"/>
              <w:bottom w:val="single" w:color="auto" w:sz="8" w:space="0"/>
              <w:right w:val="single" w:color="auto" w:sz="8" w:space="0"/>
            </w:tcBorders>
            <w:vAlign w:val="center"/>
          </w:tcPr>
          <w:p>
            <w:pPr>
              <w:rPr>
                <w:color w:val="000000"/>
                <w:szCs w:val="21"/>
              </w:rPr>
            </w:pPr>
            <w:r>
              <w:rPr>
                <w:rFonts w:hint="eastAsia"/>
                <w:color w:val="000000"/>
                <w:szCs w:val="21"/>
              </w:rPr>
              <w:t>2</w:t>
            </w:r>
          </w:p>
        </w:tc>
        <w:tc>
          <w:tcPr>
            <w:tcW w:w="1038"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Cs w:val="21"/>
              </w:rPr>
            </w:pPr>
            <w:r>
              <w:rPr>
                <w:rFonts w:hint="eastAsia" w:ascii="宋体" w:hAnsi="宋体" w:cs="宋体"/>
                <w:color w:val="000000"/>
                <w:szCs w:val="21"/>
              </w:rPr>
              <w:t>响应供应商项目经验</w:t>
            </w:r>
          </w:p>
        </w:tc>
        <w:tc>
          <w:tcPr>
            <w:tcW w:w="7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2"/>
                <w:szCs w:val="22"/>
              </w:rPr>
            </w:pPr>
            <w:r>
              <w:rPr>
                <w:rFonts w:hint="eastAsia" w:ascii="宋体" w:hAnsi="宋体" w:cs="宋体"/>
                <w:sz w:val="22"/>
                <w:szCs w:val="22"/>
              </w:rPr>
              <w:t>6</w:t>
            </w:r>
          </w:p>
        </w:tc>
        <w:tc>
          <w:tcPr>
            <w:tcW w:w="7803" w:type="dxa"/>
            <w:tcBorders>
              <w:top w:val="single" w:color="auto" w:sz="8" w:space="0"/>
              <w:left w:val="single" w:color="auto" w:sz="8" w:space="0"/>
              <w:bottom w:val="single" w:color="auto" w:sz="8" w:space="0"/>
              <w:right w:val="single" w:color="auto" w:sz="8" w:space="0"/>
            </w:tcBorders>
            <w:vAlign w:val="center"/>
          </w:tcPr>
          <w:p>
            <w:pPr>
              <w:rPr>
                <w:color w:val="000000"/>
                <w:szCs w:val="21"/>
              </w:rPr>
            </w:pPr>
            <w:r>
              <w:rPr>
                <w:rFonts w:hint="eastAsia"/>
                <w:color w:val="000000"/>
                <w:szCs w:val="21"/>
              </w:rPr>
              <w:t xml:space="preserve">（一）评分内容： </w:t>
            </w:r>
          </w:p>
          <w:p>
            <w:pPr>
              <w:rPr>
                <w:color w:val="000000"/>
                <w:szCs w:val="21"/>
              </w:rPr>
            </w:pPr>
            <w:r>
              <w:rPr>
                <w:rFonts w:hint="eastAsia"/>
                <w:color w:val="000000"/>
                <w:szCs w:val="21"/>
              </w:rPr>
              <w:t>响应供应商在近</w:t>
            </w:r>
            <w:r>
              <w:rPr>
                <w:rFonts w:hint="eastAsia"/>
                <w:color w:val="000000"/>
                <w:szCs w:val="21"/>
                <w:highlight w:val="none"/>
              </w:rPr>
              <w:t>2年内</w:t>
            </w:r>
            <w:r>
              <w:rPr>
                <w:rFonts w:hint="eastAsia"/>
                <w:color w:val="000000"/>
                <w:szCs w:val="21"/>
              </w:rPr>
              <w:t>（</w:t>
            </w:r>
            <w:r>
              <w:rPr>
                <w:color w:val="000000"/>
                <w:szCs w:val="21"/>
              </w:rPr>
              <w:t>2020</w:t>
            </w:r>
            <w:r>
              <w:rPr>
                <w:rFonts w:hint="eastAsia"/>
                <w:color w:val="000000"/>
                <w:szCs w:val="21"/>
              </w:rPr>
              <w:t>年1月1日至今，</w:t>
            </w:r>
            <w:r>
              <w:rPr>
                <w:color w:val="000000"/>
                <w:szCs w:val="21"/>
              </w:rPr>
              <w:t>合同时间以签订日期为准</w:t>
            </w:r>
            <w:r>
              <w:rPr>
                <w:rFonts w:hint="eastAsia"/>
                <w:color w:val="000000"/>
                <w:szCs w:val="21"/>
              </w:rPr>
              <w:t>）</w:t>
            </w:r>
            <w:r>
              <w:rPr>
                <w:rFonts w:hint="eastAsia"/>
                <w:lang w:val="en-US" w:eastAsia="zh-CN"/>
              </w:rPr>
              <w:t>同类软件开发</w:t>
            </w:r>
            <w:r>
              <w:rPr>
                <w:rFonts w:hint="eastAsia"/>
                <w:color w:val="000000"/>
                <w:szCs w:val="21"/>
              </w:rPr>
              <w:t>项目经验情况。</w:t>
            </w:r>
          </w:p>
          <w:p>
            <w:pPr>
              <w:rPr>
                <w:color w:val="000000"/>
                <w:szCs w:val="21"/>
              </w:rPr>
            </w:pPr>
            <w:r>
              <w:rPr>
                <w:rFonts w:hint="eastAsia"/>
                <w:color w:val="000000"/>
                <w:szCs w:val="21"/>
              </w:rPr>
              <w:t xml:space="preserve">（二）评分依据： </w:t>
            </w:r>
          </w:p>
          <w:p>
            <w:pPr>
              <w:rPr>
                <w:color w:val="000000"/>
                <w:szCs w:val="21"/>
              </w:rPr>
            </w:pPr>
            <w:r>
              <w:rPr>
                <w:rFonts w:hint="eastAsia"/>
                <w:color w:val="000000"/>
                <w:szCs w:val="21"/>
              </w:rPr>
              <w:t>响应供应商提供项目案例证明材料（合同复印件，</w:t>
            </w:r>
            <w:r>
              <w:rPr>
                <w:color w:val="000000"/>
                <w:szCs w:val="21"/>
              </w:rPr>
              <w:t>合同复印件须包含</w:t>
            </w:r>
            <w:r>
              <w:rPr>
                <w:rFonts w:hint="eastAsia"/>
                <w:color w:val="000000"/>
                <w:szCs w:val="21"/>
              </w:rPr>
              <w:t>合同</w:t>
            </w:r>
            <w:r>
              <w:rPr>
                <w:color w:val="000000"/>
                <w:szCs w:val="21"/>
              </w:rPr>
              <w:t>甲乙双方名称、合同内容、甲乙双方盖章及</w:t>
            </w:r>
            <w:r>
              <w:rPr>
                <w:rFonts w:hint="eastAsia"/>
                <w:color w:val="000000"/>
                <w:szCs w:val="21"/>
              </w:rPr>
              <w:t>签订</w:t>
            </w:r>
            <w:r>
              <w:rPr>
                <w:color w:val="000000"/>
                <w:szCs w:val="21"/>
              </w:rPr>
              <w:t>日期</w:t>
            </w:r>
            <w:r>
              <w:rPr>
                <w:rFonts w:hint="eastAsia"/>
                <w:color w:val="000000"/>
                <w:szCs w:val="21"/>
              </w:rPr>
              <w:t>）。每提供一个案例得</w:t>
            </w:r>
            <w:r>
              <w:rPr>
                <w:color w:val="000000"/>
                <w:szCs w:val="21"/>
              </w:rPr>
              <w:t>2</w:t>
            </w:r>
            <w:r>
              <w:rPr>
                <w:rFonts w:hint="eastAsia"/>
                <w:color w:val="000000"/>
                <w:szCs w:val="21"/>
              </w:rPr>
              <w:t>分，满分6分；证明材料需加盖响应供应商单位公章。如评审中出现无证明资料或专家无法凭所提供资料判断是否得分的情况，一律作不得分处理。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jc w:val="center"/>
        </w:trPr>
        <w:tc>
          <w:tcPr>
            <w:tcW w:w="512" w:type="dxa"/>
            <w:tcBorders>
              <w:top w:val="single" w:color="auto" w:sz="8" w:space="0"/>
              <w:left w:val="single" w:color="auto" w:sz="8" w:space="0"/>
              <w:bottom w:val="single" w:color="auto" w:sz="8" w:space="0"/>
              <w:right w:val="single" w:color="auto" w:sz="8" w:space="0"/>
            </w:tcBorders>
            <w:vAlign w:val="center"/>
          </w:tcPr>
          <w:p>
            <w:pPr>
              <w:rPr>
                <w:color w:val="000000"/>
                <w:szCs w:val="21"/>
              </w:rPr>
            </w:pPr>
            <w:r>
              <w:rPr>
                <w:rFonts w:hint="eastAsia"/>
                <w:color w:val="000000"/>
                <w:szCs w:val="21"/>
              </w:rPr>
              <w:t>3</w:t>
            </w:r>
          </w:p>
        </w:tc>
        <w:tc>
          <w:tcPr>
            <w:tcW w:w="1038"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Cs w:val="21"/>
              </w:rPr>
            </w:pPr>
            <w:r>
              <w:rPr>
                <w:rFonts w:hint="eastAsia" w:ascii="宋体" w:hAnsi="宋体" w:cs="宋体"/>
                <w:color w:val="000000"/>
                <w:szCs w:val="21"/>
              </w:rPr>
              <w:t>响应供应商技术实力情况</w:t>
            </w:r>
          </w:p>
        </w:tc>
        <w:tc>
          <w:tcPr>
            <w:tcW w:w="7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2"/>
                <w:szCs w:val="22"/>
              </w:rPr>
            </w:pPr>
            <w:r>
              <w:rPr>
                <w:rFonts w:hint="eastAsia" w:ascii="宋体" w:hAnsi="宋体" w:cs="宋体"/>
                <w:sz w:val="22"/>
                <w:szCs w:val="22"/>
              </w:rPr>
              <w:t>8</w:t>
            </w:r>
          </w:p>
        </w:tc>
        <w:tc>
          <w:tcPr>
            <w:tcW w:w="7803" w:type="dxa"/>
            <w:tcBorders>
              <w:top w:val="single" w:color="auto" w:sz="8" w:space="0"/>
              <w:left w:val="single" w:color="auto" w:sz="8" w:space="0"/>
              <w:bottom w:val="single" w:color="auto" w:sz="8" w:space="0"/>
              <w:right w:val="single" w:color="auto" w:sz="8" w:space="0"/>
            </w:tcBorders>
            <w:vAlign w:val="center"/>
          </w:tcPr>
          <w:p>
            <w:pPr>
              <w:rPr>
                <w:color w:val="000000"/>
                <w:szCs w:val="21"/>
              </w:rPr>
            </w:pPr>
            <w:r>
              <w:rPr>
                <w:rFonts w:hint="eastAsia"/>
                <w:color w:val="000000"/>
                <w:szCs w:val="21"/>
              </w:rPr>
              <w:t xml:space="preserve">(一）评分内容： </w:t>
            </w:r>
          </w:p>
          <w:p>
            <w:pPr>
              <w:rPr>
                <w:color w:val="000000"/>
                <w:szCs w:val="21"/>
              </w:rPr>
            </w:pPr>
            <w:r>
              <w:rPr>
                <w:rFonts w:hint="eastAsia"/>
                <w:color w:val="000000"/>
                <w:szCs w:val="21"/>
              </w:rPr>
              <w:t>响应供应商在近2年内（</w:t>
            </w:r>
            <w:r>
              <w:rPr>
                <w:color w:val="000000"/>
                <w:szCs w:val="21"/>
              </w:rPr>
              <w:t>2020</w:t>
            </w:r>
            <w:r>
              <w:rPr>
                <w:rFonts w:hint="eastAsia"/>
                <w:color w:val="000000"/>
                <w:szCs w:val="21"/>
              </w:rPr>
              <w:t>年1月1日至今）获取以下软著或软件产品证书：</w:t>
            </w:r>
          </w:p>
          <w:p>
            <w:pPr>
              <w:rPr>
                <w:color w:val="000000"/>
                <w:szCs w:val="21"/>
              </w:rPr>
            </w:pPr>
            <w:r>
              <w:rPr>
                <w:rFonts w:hint="eastAsia"/>
                <w:color w:val="000000"/>
                <w:szCs w:val="21"/>
              </w:rPr>
              <w:t>1.具有交通相关计算机软件著作权登记证书，每提供1个得</w:t>
            </w:r>
            <w:r>
              <w:rPr>
                <w:color w:val="000000"/>
                <w:szCs w:val="21"/>
              </w:rPr>
              <w:t>1</w:t>
            </w:r>
            <w:r>
              <w:rPr>
                <w:rFonts w:hint="eastAsia"/>
                <w:color w:val="000000"/>
                <w:szCs w:val="21"/>
              </w:rPr>
              <w:t xml:space="preserve">分，最多3分；  </w:t>
            </w:r>
          </w:p>
          <w:p>
            <w:pPr>
              <w:rPr>
                <w:color w:val="000000"/>
                <w:szCs w:val="21"/>
              </w:rPr>
            </w:pPr>
            <w:r>
              <w:rPr>
                <w:rFonts w:hint="eastAsia"/>
                <w:color w:val="000000"/>
                <w:szCs w:val="21"/>
              </w:rPr>
              <w:t>2具有软件企业认证证书得</w:t>
            </w:r>
            <w:r>
              <w:rPr>
                <w:color w:val="000000"/>
                <w:szCs w:val="21"/>
              </w:rPr>
              <w:t>1</w:t>
            </w:r>
            <w:r>
              <w:rPr>
                <w:rFonts w:hint="eastAsia"/>
                <w:color w:val="000000"/>
                <w:szCs w:val="21"/>
              </w:rPr>
              <w:t>分。</w:t>
            </w:r>
          </w:p>
          <w:p>
            <w:pPr>
              <w:rPr>
                <w:color w:val="000000"/>
                <w:szCs w:val="21"/>
              </w:rPr>
            </w:pPr>
            <w:r>
              <w:rPr>
                <w:rFonts w:hint="eastAsia"/>
                <w:color w:val="000000"/>
                <w:szCs w:val="21"/>
              </w:rPr>
              <w:t>3.获得科技型中小企业得</w:t>
            </w:r>
            <w:r>
              <w:rPr>
                <w:color w:val="000000"/>
                <w:szCs w:val="21"/>
              </w:rPr>
              <w:t>1</w:t>
            </w:r>
            <w:r>
              <w:rPr>
                <w:rFonts w:hint="eastAsia"/>
                <w:color w:val="000000"/>
                <w:szCs w:val="21"/>
              </w:rPr>
              <w:t>分。</w:t>
            </w:r>
          </w:p>
          <w:p>
            <w:pPr>
              <w:rPr>
                <w:color w:val="000000"/>
                <w:szCs w:val="21"/>
              </w:rPr>
            </w:pPr>
            <w:r>
              <w:rPr>
                <w:rFonts w:hint="eastAsia"/>
                <w:color w:val="000000"/>
                <w:szCs w:val="21"/>
              </w:rPr>
              <w:t>4.获得地理信息行业国家级奖项一等奖及以上得3分。</w:t>
            </w:r>
          </w:p>
          <w:p>
            <w:pPr>
              <w:rPr>
                <w:color w:val="000000"/>
                <w:szCs w:val="21"/>
              </w:rPr>
            </w:pPr>
            <w:r>
              <w:rPr>
                <w:rFonts w:hint="eastAsia"/>
                <w:color w:val="000000"/>
                <w:szCs w:val="21"/>
              </w:rPr>
              <w:t xml:space="preserve">【本项最高的8分】 </w:t>
            </w:r>
          </w:p>
          <w:p>
            <w:pPr>
              <w:rPr>
                <w:color w:val="000000"/>
                <w:szCs w:val="21"/>
              </w:rPr>
            </w:pPr>
            <w:r>
              <w:rPr>
                <w:rFonts w:hint="eastAsia"/>
                <w:color w:val="000000"/>
                <w:szCs w:val="21"/>
              </w:rPr>
              <w:t>评分依据注：须提供相关证书复印件加盖供应商公章。如评审中出现无证明资料或专家无法凭所提供资料判断是否得分的情况，一律作不得分处理。</w:t>
            </w:r>
          </w:p>
        </w:tc>
      </w:tr>
    </w:tbl>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left="420" w:leftChars="0"/>
        <w:rPr>
          <w:rFonts w:hint="eastAsia"/>
          <w:sz w:val="21"/>
          <w:szCs w:val="21"/>
          <w:lang w:val="en-US" w:eastAsia="zh-CN"/>
        </w:rPr>
      </w:pPr>
    </w:p>
    <w:p>
      <w:pPr>
        <w:pStyle w:val="2"/>
        <w:numPr>
          <w:ilvl w:val="0"/>
          <w:numId w:val="0"/>
        </w:numPr>
        <w:spacing w:line="360" w:lineRule="auto"/>
        <w:ind w:firstLine="420" w:firstLineChars="200"/>
        <w:rPr>
          <w:rFonts w:hint="default"/>
          <w:sz w:val="21"/>
          <w:szCs w:val="21"/>
          <w:lang w:val="en-US" w:eastAsia="zh-CN"/>
        </w:rPr>
      </w:pPr>
      <w:r>
        <w:rPr>
          <w:rFonts w:hint="eastAsia"/>
          <w:sz w:val="21"/>
          <w:szCs w:val="21"/>
          <w:lang w:val="en-US" w:eastAsia="zh-CN"/>
        </w:rPr>
        <w:t>⑤价格评分标准</w:t>
      </w:r>
    </w:p>
    <w:p>
      <w:pPr>
        <w:pStyle w:val="2"/>
        <w:numPr>
          <w:ilvl w:val="0"/>
          <w:numId w:val="0"/>
        </w:numPr>
        <w:spacing w:line="360" w:lineRule="auto"/>
        <w:ind w:firstLine="420" w:firstLineChars="200"/>
        <w:rPr>
          <w:rFonts w:hint="default"/>
          <w:sz w:val="21"/>
          <w:szCs w:val="21"/>
          <w:lang w:val="en-US" w:eastAsia="zh-CN"/>
        </w:rPr>
      </w:pPr>
      <w:r>
        <w:rPr>
          <w:rFonts w:hint="default"/>
          <w:sz w:val="21"/>
          <w:szCs w:val="21"/>
          <w:lang w:val="en-US" w:eastAsia="zh-CN"/>
        </w:rPr>
        <w:t>价格分统一采用低价优先法计算，即满足磋商文件要求且最后报价最低的磋商报价为磋商基准价，其价格分为满分。其他响应供应商的价格分统一按照下列公式计算：</w:t>
      </w:r>
    </w:p>
    <w:p>
      <w:pPr>
        <w:pStyle w:val="2"/>
        <w:numPr>
          <w:ilvl w:val="0"/>
          <w:numId w:val="0"/>
        </w:numPr>
        <w:spacing w:line="360" w:lineRule="auto"/>
        <w:ind w:left="420" w:leftChars="0"/>
        <w:rPr>
          <w:rFonts w:hint="default"/>
          <w:sz w:val="21"/>
          <w:szCs w:val="21"/>
          <w:lang w:val="en-US" w:eastAsia="zh-CN"/>
        </w:rPr>
      </w:pPr>
      <w:r>
        <w:rPr>
          <w:rFonts w:hint="default"/>
          <w:sz w:val="21"/>
          <w:szCs w:val="21"/>
          <w:lang w:val="en-US" w:eastAsia="zh-CN"/>
        </w:rPr>
        <w:t>磋商报价得分=(磋商基准价／最后磋商报价)×</w:t>
      </w:r>
      <w:r>
        <w:rPr>
          <w:rFonts w:hint="eastAsia"/>
          <w:sz w:val="21"/>
          <w:szCs w:val="21"/>
          <w:lang w:val="en-US" w:eastAsia="zh-CN"/>
        </w:rPr>
        <w:t>价格分值</w:t>
      </w: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p>
      <w:pPr>
        <w:pStyle w:val="2"/>
        <w:numPr>
          <w:ilvl w:val="0"/>
          <w:numId w:val="0"/>
        </w:numPr>
        <w:spacing w:line="360" w:lineRule="auto"/>
        <w:ind w:left="420" w:leftChars="0"/>
        <w:rPr>
          <w:rFonts w:hint="default"/>
          <w:sz w:val="21"/>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EAB4A"/>
    <w:multiLevelType w:val="singleLevel"/>
    <w:tmpl w:val="B76EAB4A"/>
    <w:lvl w:ilvl="0" w:tentative="0">
      <w:start w:val="7"/>
      <w:numFmt w:val="decimal"/>
      <w:suff w:val="nothing"/>
      <w:lvlText w:val="%1、"/>
      <w:lvlJc w:val="left"/>
      <w:pPr>
        <w:ind w:left="420" w:leftChars="0" w:firstLine="0" w:firstLineChars="0"/>
      </w:pPr>
    </w:lvl>
  </w:abstractNum>
  <w:abstractNum w:abstractNumId="1">
    <w:nsid w:val="C62E2588"/>
    <w:multiLevelType w:val="singleLevel"/>
    <w:tmpl w:val="C62E2588"/>
    <w:lvl w:ilvl="0" w:tentative="0">
      <w:start w:val="1"/>
      <w:numFmt w:val="decimal"/>
      <w:suff w:val="nothing"/>
      <w:lvlText w:val="%1、"/>
      <w:lvlJc w:val="left"/>
    </w:lvl>
  </w:abstractNum>
  <w:abstractNum w:abstractNumId="2">
    <w:nsid w:val="CD5C65E1"/>
    <w:multiLevelType w:val="singleLevel"/>
    <w:tmpl w:val="CD5C65E1"/>
    <w:lvl w:ilvl="0" w:tentative="0">
      <w:start w:val="1"/>
      <w:numFmt w:val="decimal"/>
      <w:lvlText w:val="%1"/>
      <w:lvlJc w:val="left"/>
      <w:pPr>
        <w:tabs>
          <w:tab w:val="left" w:pos="846"/>
        </w:tabs>
        <w:ind w:left="851" w:hanging="425"/>
      </w:pPr>
      <w:rPr>
        <w:rFonts w:hint="default"/>
      </w:rPr>
    </w:lvl>
  </w:abstractNum>
  <w:abstractNum w:abstractNumId="3">
    <w:nsid w:val="0000001D"/>
    <w:multiLevelType w:val="multilevel"/>
    <w:tmpl w:val="0000001D"/>
    <w:lvl w:ilvl="0" w:tentative="0">
      <w:start w:val="1"/>
      <w:numFmt w:val="chineseCountingThousand"/>
      <w:suff w:val="nothing"/>
      <w:lvlText w:val="%1、"/>
      <w:lvlJc w:val="left"/>
      <w:rPr>
        <w:rFonts w:hint="eastAsia"/>
        <w:b/>
        <w:i w:val="0"/>
        <w:sz w:val="24"/>
      </w:rPr>
    </w:lvl>
    <w:lvl w:ilvl="1" w:tentative="0">
      <w:start w:val="1"/>
      <w:numFmt w:val="decimal"/>
      <w:pStyle w:val="3"/>
      <w:suff w:val="nothing"/>
      <w:lvlText w:val="%2. "/>
      <w:lvlJc w:val="left"/>
      <w:rPr>
        <w:rFonts w:hint="eastAsia"/>
        <w:b w:val="0"/>
        <w:i w:val="0"/>
        <w:sz w:val="24"/>
      </w:rPr>
    </w:lvl>
    <w:lvl w:ilvl="2" w:tentative="0">
      <w:start w:val="1"/>
      <w:numFmt w:val="none"/>
      <w:pStyle w:val="4"/>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5E552BDF"/>
    <w:multiLevelType w:val="multilevel"/>
    <w:tmpl w:val="5E552BDF"/>
    <w:lvl w:ilvl="0" w:tentative="0">
      <w:start w:val="1"/>
      <w:numFmt w:val="decimal"/>
      <w:lvlText w:val="表%1"/>
      <w:lvlJc w:val="center"/>
      <w:pPr>
        <w:ind w:left="420" w:hanging="420"/>
      </w:pPr>
      <w:rPr>
        <w:rFonts w:hint="eastAsia" w:ascii="宋体"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43503"/>
    <w:rsid w:val="18EC696C"/>
    <w:rsid w:val="3387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 w:type="paragraph" w:styleId="5">
    <w:name w:val="annotation text"/>
    <w:basedOn w:val="1"/>
    <w:qFormat/>
    <w:uiPriority w:val="0"/>
    <w:pPr>
      <w:jc w:val="left"/>
    </w:pPr>
  </w:style>
  <w:style w:type="character" w:customStyle="1" w:styleId="8">
    <w:name w:val="Default Paragraph Font"/>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2022-03-16T06:45:00Z</dcterms:created>
  <dc:creator>admin1003</dc:creator>
  <cp:lastModifiedBy>JY</cp:lastModifiedBy>
  <dcterms:modified xsi:type="dcterms:W3CDTF">2022-03-16T09:02:11Z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B916176581FC495895EB6781B30C0B92</vt:lpwstr>
  </property>
</Properties>
</file>