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附件一：项目需求</w:t>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佛山市干线公路路域环境检查评价系统开发项目需求书</w:t>
      </w:r>
    </w:p>
    <w:p>
      <w:pPr>
        <w:numPr>
          <w:ilvl w:val="0"/>
          <w:numId w:val="2"/>
        </w:numPr>
        <w:spacing w:line="360" w:lineRule="auto"/>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项目建设内容  </w:t>
      </w:r>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佛山市干线公路路域环境检查评价系统分为三大功能模块：</w:t>
      </w:r>
    </w:p>
    <w:p>
      <w:p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路域环境问题采集反馈模板、路域环境问题处理统计模块、用户管理模块</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具体功能要求如下：</w:t>
      </w:r>
    </w:p>
    <w:p>
      <w:pPr>
        <w:pStyle w:val="4"/>
        <w:numPr>
          <w:ilvl w:val="0"/>
          <w:numId w:val="3"/>
        </w:numPr>
        <w:spacing w:line="320" w:lineRule="exact"/>
        <w:ind w:left="425" w:hanging="425"/>
        <w:rPr>
          <w:rFonts w:hint="eastAsia" w:ascii="宋体" w:hAnsi="宋体" w:eastAsia="宋体" w:cs="宋体"/>
          <w:sz w:val="21"/>
          <w:szCs w:val="21"/>
        </w:rPr>
      </w:pPr>
      <w:bookmarkStart w:id="0" w:name="_Toc19242"/>
      <w:r>
        <w:rPr>
          <w:rFonts w:hint="eastAsia" w:ascii="宋体" w:hAnsi="宋体" w:eastAsia="宋体" w:cs="宋体"/>
          <w:b/>
          <w:bCs w:val="0"/>
          <w:sz w:val="21"/>
          <w:szCs w:val="21"/>
        </w:rPr>
        <w:t>路域环境问题采集反馈模块</w:t>
      </w:r>
      <w:bookmarkEnd w:id="0"/>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汇聚基础公路路线数据，对受检单元的卫生保洁、绿化管养、小修保养等路域环境进行问题采集，可对采集内容进行筛选查看，受检单位可对接收的问题进行整改反馈。检查线长（检查线路上、下行共约3142.372公里）、面广（涉及五区共51个受检单元和17家高速公路路段运营单位共23个受检单元）。路域环境问题采集模块主要功能包括：地图操作、问题上报、问题查看、问题反馈。</w:t>
      </w:r>
    </w:p>
    <w:p>
      <w:pPr>
        <w:pStyle w:val="4"/>
        <w:numPr>
          <w:ilvl w:val="0"/>
          <w:numId w:val="4"/>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lang w:val="en-US" w:eastAsia="zh-CN"/>
        </w:rPr>
        <w:t>公路桩号</w:t>
      </w:r>
      <w:r>
        <w:rPr>
          <w:rFonts w:hint="eastAsia" w:ascii="宋体" w:hAnsi="宋体" w:eastAsia="宋体" w:cs="宋体"/>
          <w:sz w:val="21"/>
          <w:szCs w:val="21"/>
        </w:rPr>
        <w:t>图层</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lang w:val="en-US" w:eastAsia="zh-CN"/>
        </w:rPr>
        <w:t>按照巡检范围定制公路</w:t>
      </w:r>
      <w:r>
        <w:rPr>
          <w:rFonts w:hint="eastAsia" w:ascii="宋体" w:hAnsi="宋体" w:eastAsia="宋体" w:cs="宋体"/>
          <w:sz w:val="21"/>
          <w:szCs w:val="21"/>
        </w:rPr>
        <w:t>图层</w:t>
      </w:r>
      <w:r>
        <w:rPr>
          <w:rFonts w:hint="eastAsia" w:ascii="宋体" w:hAnsi="宋体" w:eastAsia="宋体" w:cs="宋体"/>
          <w:sz w:val="21"/>
          <w:szCs w:val="21"/>
          <w:lang w:eastAsia="zh-CN"/>
        </w:rPr>
        <w:t>，</w:t>
      </w:r>
      <w:r>
        <w:rPr>
          <w:rFonts w:hint="eastAsia" w:ascii="宋体" w:hAnsi="宋体" w:eastAsia="宋体" w:cs="宋体"/>
          <w:sz w:val="21"/>
          <w:szCs w:val="21"/>
        </w:rPr>
        <w:t>只显示巡检路线及桩号，其余公路不做展示。</w:t>
      </w:r>
    </w:p>
    <w:p>
      <w:pPr>
        <w:pStyle w:val="4"/>
        <w:numPr>
          <w:ilvl w:val="0"/>
          <w:numId w:val="4"/>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定位功能</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支持获取当前定位的功能。</w:t>
      </w:r>
    </w:p>
    <w:p>
      <w:pPr>
        <w:pStyle w:val="4"/>
        <w:numPr>
          <w:ilvl w:val="0"/>
          <w:numId w:val="4"/>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查询功能</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在地图页面具有查询功能，通过在搜索框输入公路名称、关键字进行搜索查询。通过在地图上点击某条路，可以查询到基本信息（按照巡检路线和桩号的图层属性表来）</w:t>
      </w:r>
    </w:p>
    <w:p>
      <w:pPr>
        <w:pStyle w:val="4"/>
        <w:numPr>
          <w:ilvl w:val="0"/>
          <w:numId w:val="4"/>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问题上报</w:t>
      </w:r>
    </w:p>
    <w:p>
      <w:pPr>
        <w:pStyle w:val="6"/>
        <w:numPr>
          <w:ilvl w:val="0"/>
          <w:numId w:val="5"/>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数据联动</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支持按公路名称路线进行数据检索，自动获取该路线下所有的受检单元，支持用户对受检单元进行选择，并自动关联出该受检单元的管养单位，自动填充受检单位字段，也可对自动获取的受检单元及管养单位进行编辑。</w:t>
      </w:r>
    </w:p>
    <w:p>
      <w:pPr>
        <w:pStyle w:val="6"/>
        <w:numPr>
          <w:ilvl w:val="0"/>
          <w:numId w:val="5"/>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表单填写</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按照《佛山市高速公路</w:t>
      </w:r>
      <w:r>
        <w:rPr>
          <w:rFonts w:hint="eastAsia" w:ascii="宋体" w:hAnsi="宋体" w:eastAsia="宋体" w:cs="宋体"/>
          <w:sz w:val="21"/>
          <w:szCs w:val="21"/>
          <w:lang w:val="en-US" w:eastAsia="zh-CN"/>
        </w:rPr>
        <w:t>路域环境（</w:t>
      </w:r>
      <w:r>
        <w:rPr>
          <w:rFonts w:hint="eastAsia" w:ascii="宋体" w:hAnsi="宋体" w:eastAsia="宋体" w:cs="宋体"/>
          <w:sz w:val="21"/>
          <w:szCs w:val="21"/>
        </w:rPr>
        <w:t>日常养护</w:t>
      </w:r>
      <w:r>
        <w:rPr>
          <w:rFonts w:hint="eastAsia" w:ascii="宋体" w:hAnsi="宋体" w:eastAsia="宋体" w:cs="宋体"/>
          <w:sz w:val="21"/>
          <w:szCs w:val="21"/>
          <w:lang w:eastAsia="zh-CN"/>
        </w:rPr>
        <w:t>）</w:t>
      </w:r>
      <w:r>
        <w:rPr>
          <w:rFonts w:hint="eastAsia" w:ascii="宋体" w:hAnsi="宋体" w:eastAsia="宋体" w:cs="宋体"/>
          <w:sz w:val="21"/>
          <w:szCs w:val="21"/>
        </w:rPr>
        <w:t>检查评价方案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试行</w:t>
      </w:r>
      <w:r>
        <w:rPr>
          <w:rFonts w:hint="eastAsia" w:ascii="宋体" w:hAnsi="宋体" w:eastAsia="宋体" w:cs="宋体"/>
          <w:sz w:val="21"/>
          <w:szCs w:val="21"/>
          <w:lang w:eastAsia="zh-CN"/>
        </w:rPr>
        <w:t>）</w:t>
      </w:r>
      <w:r>
        <w:rPr>
          <w:rFonts w:hint="eastAsia" w:ascii="宋体" w:hAnsi="宋体" w:eastAsia="宋体" w:cs="宋体"/>
          <w:sz w:val="21"/>
          <w:szCs w:val="21"/>
        </w:rPr>
        <w:t>》、《佛山市普通国省道及原佛山一环辅道</w:t>
      </w:r>
      <w:r>
        <w:rPr>
          <w:rFonts w:hint="eastAsia" w:ascii="宋体" w:hAnsi="宋体" w:eastAsia="宋体" w:cs="宋体"/>
          <w:sz w:val="21"/>
          <w:szCs w:val="21"/>
          <w:lang w:val="en-US" w:eastAsia="zh-CN"/>
        </w:rPr>
        <w:t>路域环境（</w:t>
      </w:r>
      <w:r>
        <w:rPr>
          <w:rFonts w:hint="eastAsia" w:ascii="宋体" w:hAnsi="宋体" w:eastAsia="宋体" w:cs="宋体"/>
          <w:sz w:val="21"/>
          <w:szCs w:val="21"/>
        </w:rPr>
        <w:t>日常养护</w:t>
      </w:r>
      <w:r>
        <w:rPr>
          <w:rFonts w:hint="eastAsia" w:ascii="宋体" w:hAnsi="宋体" w:eastAsia="宋体" w:cs="宋体"/>
          <w:sz w:val="21"/>
          <w:szCs w:val="21"/>
          <w:lang w:eastAsia="zh-CN"/>
        </w:rPr>
        <w:t>）</w:t>
      </w:r>
      <w:r>
        <w:rPr>
          <w:rFonts w:hint="eastAsia" w:ascii="宋体" w:hAnsi="宋体" w:eastAsia="宋体" w:cs="宋体"/>
          <w:sz w:val="21"/>
          <w:szCs w:val="21"/>
        </w:rPr>
        <w:t>检查评价方案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试行</w:t>
      </w:r>
      <w:r>
        <w:rPr>
          <w:rFonts w:hint="eastAsia" w:ascii="宋体" w:hAnsi="宋体" w:eastAsia="宋体" w:cs="宋体"/>
          <w:sz w:val="21"/>
          <w:szCs w:val="21"/>
          <w:lang w:eastAsia="zh-CN"/>
        </w:rPr>
        <w:t>）</w:t>
      </w:r>
      <w:r>
        <w:rPr>
          <w:rFonts w:hint="eastAsia" w:ascii="宋体" w:hAnsi="宋体" w:eastAsia="宋体" w:cs="宋体"/>
          <w:sz w:val="21"/>
          <w:szCs w:val="21"/>
        </w:rPr>
        <w:t>》设计问题表单，区分高速公路路域环境巡检问题表单以及普通</w:t>
      </w:r>
      <w:r>
        <w:rPr>
          <w:rFonts w:hint="eastAsia" w:ascii="宋体" w:hAnsi="宋体" w:eastAsia="宋体" w:cs="宋体"/>
          <w:sz w:val="21"/>
          <w:szCs w:val="21"/>
          <w:lang w:val="en-US" w:eastAsia="zh-CN"/>
        </w:rPr>
        <w:t>道路</w:t>
      </w:r>
      <w:r>
        <w:rPr>
          <w:rFonts w:hint="eastAsia" w:ascii="宋体" w:hAnsi="宋体" w:eastAsia="宋体" w:cs="宋体"/>
          <w:sz w:val="21"/>
          <w:szCs w:val="21"/>
        </w:rPr>
        <w:t>路域环境巡检问题表单，需包含以下字段：线路编号及名称、受检单元、受检单位、公路类型、公路分段、位置/桩号、采集时间、问题类型、问题描述、备注、扣分情况、问题数量，能够支持上传照片。</w:t>
      </w:r>
    </w:p>
    <w:p>
      <w:pPr>
        <w:pStyle w:val="6"/>
        <w:numPr>
          <w:ilvl w:val="0"/>
          <w:numId w:val="5"/>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桩号定位</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w:t>
      </w:r>
      <w:r>
        <w:rPr>
          <w:rFonts w:hint="eastAsia" w:ascii="宋体" w:hAnsi="宋体" w:eastAsia="宋体" w:cs="宋体"/>
          <w:sz w:val="21"/>
          <w:szCs w:val="21"/>
          <w:lang w:val="en-US" w:eastAsia="zh-CN"/>
        </w:rPr>
        <w:t>需</w:t>
      </w:r>
      <w:r>
        <w:rPr>
          <w:rFonts w:hint="eastAsia" w:ascii="宋体" w:hAnsi="宋体" w:eastAsia="宋体" w:cs="宋体"/>
          <w:sz w:val="21"/>
          <w:szCs w:val="21"/>
        </w:rPr>
        <w:t>支持根据所选路线及编号，自动获取巡检人员当前定位附近桩号，也可对自动获取的桩号进行编辑，根据实际情况调整桩号。</w:t>
      </w:r>
    </w:p>
    <w:p>
      <w:pPr>
        <w:pStyle w:val="6"/>
        <w:numPr>
          <w:ilvl w:val="0"/>
          <w:numId w:val="5"/>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数据提交</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用户可生成任务表单，获取定位及拍照后暂存表单，后续填写事件描述及修改其他内容后，确认表单再上传后台。</w:t>
      </w:r>
    </w:p>
    <w:p>
      <w:pPr>
        <w:pStyle w:val="4"/>
        <w:numPr>
          <w:ilvl w:val="0"/>
          <w:numId w:val="4"/>
        </w:numPr>
        <w:spacing w:line="320" w:lineRule="exact"/>
        <w:rPr>
          <w:rFonts w:hint="eastAsia" w:ascii="宋体" w:hAnsi="宋体" w:eastAsia="宋体" w:cs="宋体"/>
          <w:sz w:val="21"/>
          <w:szCs w:val="21"/>
        </w:rPr>
      </w:pPr>
      <w:r>
        <w:rPr>
          <w:rFonts w:hint="eastAsia" w:ascii="宋体" w:hAnsi="宋体" w:eastAsia="宋体" w:cs="宋体"/>
          <w:sz w:val="21"/>
          <w:szCs w:val="21"/>
        </w:rPr>
        <w:t>问题查看</w:t>
      </w:r>
    </w:p>
    <w:p>
      <w:pPr>
        <w:pStyle w:val="6"/>
        <w:numPr>
          <w:ilvl w:val="0"/>
          <w:numId w:val="6"/>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列表查看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APP支持查看所有上报的问题，具有筛选功能，可以按照受检单元、采集日期、受检单位、线路名称及编号、公路类型、整改状态进行筛选，根据工作需要获取相关问题列表，以及问题详情查看。</w:t>
      </w:r>
    </w:p>
    <w:p>
      <w:pPr>
        <w:pStyle w:val="6"/>
        <w:numPr>
          <w:ilvl w:val="0"/>
          <w:numId w:val="6"/>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详情查看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通过问题列表，可以进入问题详情查看页面，用户能够查询具体的问题表单、整改情况。</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问题列表具有置顶功能，触发后能页面迅速切换至顶行。同时支持保存问题列表当前查询页，切换页面后不影响页面列表的行序。</w:t>
      </w:r>
    </w:p>
    <w:p>
      <w:pPr>
        <w:pStyle w:val="4"/>
        <w:numPr>
          <w:ilvl w:val="0"/>
          <w:numId w:val="4"/>
        </w:numPr>
        <w:spacing w:line="320" w:lineRule="exact"/>
        <w:rPr>
          <w:rFonts w:hint="eastAsia" w:ascii="宋体" w:hAnsi="宋体" w:eastAsia="宋体" w:cs="宋体"/>
          <w:sz w:val="21"/>
          <w:szCs w:val="21"/>
        </w:rPr>
      </w:pPr>
      <w:r>
        <w:rPr>
          <w:rFonts w:hint="eastAsia" w:ascii="宋体" w:hAnsi="宋体" w:eastAsia="宋体" w:cs="宋体"/>
          <w:sz w:val="21"/>
          <w:szCs w:val="21"/>
        </w:rPr>
        <w:t>问题反馈</w:t>
      </w:r>
    </w:p>
    <w:p>
      <w:pPr>
        <w:pStyle w:val="6"/>
        <w:numPr>
          <w:ilvl w:val="0"/>
          <w:numId w:val="7"/>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待整改列表查看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受检单位登录APP后，可以看到与本单位相关的路域环境问题列表，可以按受检单元、路线名称及编号、检查日期进行筛选。</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受检单位进入问题详情页面，可以查看路域环境的具体问题，能够通过问题清单中的桩号以及坐标信息前往现场进行问题整改，并提交整改说明以及整改照片。</w:t>
      </w:r>
    </w:p>
    <w:p>
      <w:pPr>
        <w:pStyle w:val="6"/>
        <w:numPr>
          <w:ilvl w:val="0"/>
          <w:numId w:val="7"/>
        </w:numPr>
        <w:tabs>
          <w:tab w:val="clear" w:pos="0"/>
        </w:tabs>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整改情况审核</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在APP端，检查单位可查看问题的整改情况，能够对整改情况进行审核，审核通过后问题的整改状态变为整改通过，该条问题自动归档，无法对该类问题编辑。如果审核不通过，则该条问题可选择受检单位进行再次派发，由其进行整改，直至整改通过。</w:t>
      </w:r>
    </w:p>
    <w:p>
      <w:pPr>
        <w:pStyle w:val="6"/>
        <w:numPr>
          <w:ilvl w:val="0"/>
          <w:numId w:val="7"/>
        </w:numPr>
        <w:tabs>
          <w:tab w:val="clear" w:pos="0"/>
        </w:tabs>
        <w:spacing w:line="320" w:lineRule="exact"/>
        <w:ind w:firstLine="400"/>
        <w:rPr>
          <w:rFonts w:hint="eastAsia" w:ascii="宋体" w:hAnsi="宋体" w:eastAsia="宋体" w:cs="宋体"/>
          <w:sz w:val="21"/>
          <w:szCs w:val="21"/>
        </w:rPr>
      </w:pPr>
      <w:r>
        <w:rPr>
          <w:rFonts w:hint="eastAsia" w:ascii="宋体" w:hAnsi="宋体" w:eastAsia="宋体" w:cs="宋体"/>
          <w:sz w:val="21"/>
          <w:szCs w:val="21"/>
        </w:rPr>
        <w:t>整改状态查看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根据整改提交情况以及审核情况自动判别问题整改状态，对于未提交整改情况的问题状态设置为：未整改，对于已提交整改但检查单位未审核的状态设置为：未审核，对于审核通过的状态为：整改通过，对未通过审核的状态为：整改不通过。</w:t>
      </w:r>
    </w:p>
    <w:p>
      <w:pPr>
        <w:pStyle w:val="4"/>
        <w:numPr>
          <w:ilvl w:val="0"/>
          <w:numId w:val="3"/>
        </w:numPr>
        <w:spacing w:line="320" w:lineRule="exact"/>
        <w:ind w:left="425" w:hanging="425"/>
        <w:rPr>
          <w:rFonts w:hint="eastAsia" w:ascii="宋体" w:hAnsi="宋体" w:eastAsia="宋体" w:cs="宋体"/>
          <w:b/>
          <w:bCs w:val="0"/>
          <w:sz w:val="21"/>
          <w:szCs w:val="21"/>
        </w:rPr>
      </w:pPr>
      <w:bookmarkStart w:id="1" w:name="_Toc14092"/>
      <w:r>
        <w:rPr>
          <w:rFonts w:hint="eastAsia" w:ascii="宋体" w:hAnsi="宋体" w:eastAsia="宋体" w:cs="宋体"/>
          <w:b/>
          <w:bCs w:val="0"/>
          <w:sz w:val="21"/>
          <w:szCs w:val="21"/>
        </w:rPr>
        <w:t>路域环境问题处理统计模块</w:t>
      </w:r>
      <w:bookmarkEnd w:id="1"/>
    </w:p>
    <w:p>
      <w:pPr>
        <w:pStyle w:val="5"/>
        <w:numPr>
          <w:ilvl w:val="0"/>
          <w:numId w:val="8"/>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问题查询</w:t>
      </w:r>
    </w:p>
    <w:p>
      <w:pPr>
        <w:pStyle w:val="6"/>
        <w:numPr>
          <w:ilvl w:val="0"/>
          <w:numId w:val="9"/>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列表查看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后台支持查看所有上报的问题，具有筛选功能，可以按照受检单元、采集日期、受检单位、线路名称及编号、公路类型、整改状态进行筛选，根据工作需要获取相关问题列表，以及问题详情查看。</w:t>
      </w:r>
    </w:p>
    <w:p>
      <w:pPr>
        <w:pStyle w:val="6"/>
        <w:numPr>
          <w:ilvl w:val="0"/>
          <w:numId w:val="9"/>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详情查看</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通过问题列表，可以进入问题详情查看页面，用户能够查询具体的问题表单、整改情况，支持在地图上查询问题的具体定位。</w:t>
      </w:r>
    </w:p>
    <w:p>
      <w:pPr>
        <w:pStyle w:val="5"/>
        <w:numPr>
          <w:ilvl w:val="0"/>
          <w:numId w:val="8"/>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问题管理</w:t>
      </w:r>
    </w:p>
    <w:p>
      <w:pPr>
        <w:pStyle w:val="6"/>
        <w:numPr>
          <w:ilvl w:val="0"/>
          <w:numId w:val="9"/>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问题编辑</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系统支持对问题表单中的字段信息进行编辑，根据实际情况完善路域环境巡检问题表单。同时需要支持在地图上对其坐标进行编辑，确保巡检问题发生位置的准确性。</w:t>
      </w:r>
    </w:p>
    <w:p>
      <w:pPr>
        <w:pStyle w:val="6"/>
        <w:numPr>
          <w:ilvl w:val="0"/>
          <w:numId w:val="9"/>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问题删除</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系统支持对误判为问题的路域巡检情况进行删除，确保受检单元、受检单位评分的准确性。</w:t>
      </w:r>
    </w:p>
    <w:p>
      <w:pPr>
        <w:pStyle w:val="5"/>
        <w:numPr>
          <w:ilvl w:val="0"/>
          <w:numId w:val="8"/>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巡检评分</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系统支持对各受检单元、受检单位以及全路段公路的路域巡检情况评分。</w:t>
      </w:r>
    </w:p>
    <w:p>
      <w:pPr>
        <w:pStyle w:val="6"/>
        <w:numPr>
          <w:ilvl w:val="0"/>
          <w:numId w:val="10"/>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受检单元评分</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各受检单元季度检查评分=100-季度检查扣分。季度检查每项检查内容扣分不超过该项初设分值。对于各受检单元在季度检查评分时存在检查内容缺项的情况，则该项检查内容初设分值（B）不计，各受检单元季度检查评分计算方法如下：各受检单元季度检查评分=</w:t>
      </w:r>
      <w:r>
        <w:rPr>
          <w:rFonts w:hint="eastAsia" w:ascii="宋体" w:hAnsi="宋体" w:eastAsia="宋体" w:cs="宋体"/>
          <w:sz w:val="21"/>
          <w:szCs w:val="21"/>
        </w:rPr>
        <w:drawing>
          <wp:inline distT="0" distB="0" distL="114300" distR="114300">
            <wp:extent cx="1685925" cy="40005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85925" cy="400050"/>
                    </a:xfrm>
                    <a:prstGeom prst="rect">
                      <a:avLst/>
                    </a:prstGeom>
                    <a:noFill/>
                    <a:ln>
                      <a:noFill/>
                    </a:ln>
                  </pic:spPr>
                </pic:pic>
              </a:graphicData>
            </a:graphic>
          </wp:inline>
        </w:drawing>
      </w:r>
    </w:p>
    <w:p>
      <w:pPr>
        <w:pStyle w:val="6"/>
        <w:numPr>
          <w:ilvl w:val="0"/>
          <w:numId w:val="10"/>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受检单位评分</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由本区内纳入检查范围的各受检单元评分按照其受检路线长度占该区当季度检查范围道路总里程的占比加权平均计算得出。系统支持用户对加权值进行自定义，加权值不得超过1。</w:t>
      </w:r>
    </w:p>
    <w:p>
      <w:pPr>
        <w:pStyle w:val="6"/>
        <w:numPr>
          <w:ilvl w:val="0"/>
          <w:numId w:val="10"/>
        </w:num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全路段公路评分</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由受检单元路线长度站全路段公路总里程的占比加权平均计算得出。系统支持用户对加权值进行自定义，加权值不得超过1。</w:t>
      </w:r>
    </w:p>
    <w:p>
      <w:pPr>
        <w:pStyle w:val="5"/>
        <w:numPr>
          <w:ilvl w:val="0"/>
          <w:numId w:val="8"/>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数据统计</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系统支持对各受检单元、受检单位以及全路段的问题类型数量、评分情况、整改情况进行统计，支持按季度、全年度统计。</w:t>
      </w:r>
    </w:p>
    <w:p>
      <w:pPr>
        <w:pStyle w:val="5"/>
        <w:numPr>
          <w:ilvl w:val="0"/>
          <w:numId w:val="8"/>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数据导出</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系统支持单条问题记录导出。</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系统支持按高速公路、普通</w:t>
      </w:r>
      <w:r>
        <w:rPr>
          <w:rFonts w:hint="eastAsia" w:ascii="宋体" w:hAnsi="宋体" w:eastAsia="宋体" w:cs="宋体"/>
          <w:sz w:val="21"/>
          <w:szCs w:val="21"/>
          <w:lang w:val="en-US" w:eastAsia="zh-CN"/>
        </w:rPr>
        <w:t>道路</w:t>
      </w:r>
      <w:r>
        <w:rPr>
          <w:rFonts w:hint="eastAsia" w:ascii="宋体" w:hAnsi="宋体" w:eastAsia="宋体" w:cs="宋体"/>
          <w:sz w:val="21"/>
          <w:szCs w:val="21"/>
        </w:rPr>
        <w:t>筛选，分布导出问题汇总表。</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系统能够对受检单元、受检单位以及全路段评分情况进行统计，支持导出评分汇总表。</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系统支持导出受检单元、受检单位以及全路段巡检问题整改情况汇总表。</w:t>
      </w:r>
    </w:p>
    <w:p>
      <w:pPr>
        <w:pStyle w:val="4"/>
        <w:numPr>
          <w:ilvl w:val="0"/>
          <w:numId w:val="3"/>
        </w:numPr>
        <w:spacing w:line="320" w:lineRule="exact"/>
        <w:ind w:left="425" w:hanging="425"/>
        <w:rPr>
          <w:rFonts w:hint="eastAsia" w:ascii="宋体" w:hAnsi="宋体" w:eastAsia="宋体" w:cs="宋体"/>
          <w:b/>
          <w:bCs w:val="0"/>
          <w:sz w:val="21"/>
          <w:szCs w:val="21"/>
        </w:rPr>
      </w:pPr>
      <w:bookmarkStart w:id="2" w:name="_Toc3095"/>
      <w:r>
        <w:rPr>
          <w:rFonts w:hint="eastAsia" w:ascii="宋体" w:hAnsi="宋体" w:eastAsia="宋体" w:cs="宋体"/>
          <w:b/>
          <w:bCs w:val="0"/>
          <w:sz w:val="21"/>
          <w:szCs w:val="21"/>
        </w:rPr>
        <w:t>用户管理模块</w:t>
      </w:r>
      <w:bookmarkEnd w:id="2"/>
    </w:p>
    <w:p>
      <w:pPr>
        <w:pStyle w:val="5"/>
        <w:numPr>
          <w:ilvl w:val="0"/>
          <w:numId w:val="11"/>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用户管理架构及权限</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用户管理分为三级管理架构：一级可查看高速公路组和普通</w:t>
      </w:r>
      <w:r>
        <w:rPr>
          <w:rFonts w:hint="eastAsia" w:ascii="宋体" w:hAnsi="宋体" w:eastAsia="宋体" w:cs="宋体"/>
          <w:sz w:val="21"/>
          <w:szCs w:val="21"/>
          <w:lang w:val="en-US" w:eastAsia="zh-CN"/>
        </w:rPr>
        <w:t>道路</w:t>
      </w:r>
      <w:r>
        <w:rPr>
          <w:rFonts w:hint="eastAsia" w:ascii="宋体" w:hAnsi="宋体" w:eastAsia="宋体" w:cs="宋体"/>
          <w:sz w:val="21"/>
          <w:szCs w:val="21"/>
        </w:rPr>
        <w:t>组的所有巡检问题；二级分为高速公路组及普通</w:t>
      </w:r>
      <w:r>
        <w:rPr>
          <w:rFonts w:hint="eastAsia" w:ascii="宋体" w:hAnsi="宋体" w:eastAsia="宋体" w:cs="宋体"/>
          <w:sz w:val="21"/>
          <w:szCs w:val="21"/>
          <w:lang w:val="en-US" w:eastAsia="zh-CN"/>
        </w:rPr>
        <w:t>道路</w:t>
      </w:r>
      <w:r>
        <w:rPr>
          <w:rFonts w:hint="eastAsia" w:ascii="宋体" w:hAnsi="宋体" w:eastAsia="宋体" w:cs="宋体"/>
          <w:sz w:val="21"/>
          <w:szCs w:val="21"/>
        </w:rPr>
        <w:t>组，分别查看各自组别的所有巡检问题；三级为巡检小组</w:t>
      </w:r>
      <w:r>
        <w:rPr>
          <w:rFonts w:hint="eastAsia" w:ascii="宋体" w:hAnsi="宋体" w:eastAsia="宋体" w:cs="宋体"/>
          <w:sz w:val="21"/>
          <w:szCs w:val="21"/>
          <w:lang w:val="en-US" w:eastAsia="zh-CN"/>
        </w:rPr>
        <w:t>和受检单位</w:t>
      </w:r>
      <w:r>
        <w:rPr>
          <w:rFonts w:hint="eastAsia" w:ascii="宋体" w:hAnsi="宋体" w:eastAsia="宋体" w:cs="宋体"/>
          <w:sz w:val="21"/>
          <w:szCs w:val="21"/>
        </w:rPr>
        <w:t>，只能查看该小组的巡检问题</w:t>
      </w:r>
      <w:r>
        <w:rPr>
          <w:rFonts w:hint="eastAsia" w:ascii="宋体" w:hAnsi="宋体" w:eastAsia="宋体" w:cs="宋体"/>
          <w:sz w:val="21"/>
          <w:szCs w:val="21"/>
          <w:lang w:val="en-US" w:eastAsia="zh-CN"/>
        </w:rPr>
        <w:t>或该受检单位的检查问题清单及问题整改情况</w:t>
      </w:r>
      <w:r>
        <w:rPr>
          <w:rFonts w:hint="eastAsia" w:ascii="宋体" w:hAnsi="宋体" w:eastAsia="宋体" w:cs="宋体"/>
          <w:sz w:val="21"/>
          <w:szCs w:val="21"/>
        </w:rPr>
        <w:t>。</w:t>
      </w:r>
    </w:p>
    <w:p>
      <w:pPr>
        <w:pStyle w:val="5"/>
        <w:numPr>
          <w:ilvl w:val="0"/>
          <w:numId w:val="11"/>
        </w:numPr>
        <w:spacing w:line="320" w:lineRule="exact"/>
        <w:ind w:left="425" w:hanging="425"/>
        <w:rPr>
          <w:rFonts w:hint="eastAsia" w:ascii="宋体" w:hAnsi="宋体" w:eastAsia="宋体" w:cs="宋体"/>
          <w:sz w:val="21"/>
          <w:szCs w:val="21"/>
        </w:rPr>
      </w:pPr>
      <w:r>
        <w:rPr>
          <w:rFonts w:hint="eastAsia" w:ascii="宋体" w:hAnsi="宋体" w:eastAsia="宋体" w:cs="宋体"/>
          <w:sz w:val="21"/>
          <w:szCs w:val="21"/>
        </w:rPr>
        <w:t>用户管理</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支持用户账号新增/删除功能，支持对用户进行权限配置。</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支持用户修改密码、找回密码，支持对不同权限的用户配置不同的APP操作权限。</w:t>
      </w:r>
    </w:p>
    <w:p>
      <w:pPr>
        <w:pStyle w:val="4"/>
        <w:numPr>
          <w:ilvl w:val="0"/>
          <w:numId w:val="3"/>
        </w:numPr>
        <w:spacing w:line="320" w:lineRule="exact"/>
        <w:ind w:left="425" w:hanging="425"/>
        <w:rPr>
          <w:rFonts w:hint="eastAsia" w:ascii="宋体" w:hAnsi="宋体" w:eastAsia="宋体" w:cs="宋体"/>
          <w:b/>
          <w:bCs w:val="0"/>
          <w:sz w:val="21"/>
          <w:szCs w:val="21"/>
          <w:highlight w:val="none"/>
        </w:rPr>
      </w:pPr>
      <w:bookmarkStart w:id="3" w:name="_Toc32207"/>
      <w:r>
        <w:rPr>
          <w:rFonts w:hint="eastAsia" w:ascii="宋体" w:hAnsi="宋体" w:eastAsia="宋体" w:cs="宋体"/>
          <w:b/>
          <w:bCs w:val="0"/>
          <w:sz w:val="21"/>
          <w:szCs w:val="21"/>
          <w:highlight w:val="none"/>
        </w:rPr>
        <w:t>网络系统设计</w:t>
      </w:r>
    </w:p>
    <w:p>
      <w:pPr>
        <w:spacing w:line="320" w:lineRule="exact"/>
        <w:ind w:firstLine="480"/>
        <w:rPr>
          <w:rFonts w:hint="eastAsia" w:ascii="宋体" w:hAnsi="宋体" w:eastAsia="宋体" w:cs="宋体"/>
          <w:sz w:val="21"/>
          <w:szCs w:val="21"/>
        </w:rPr>
      </w:pPr>
      <w:r>
        <w:rPr>
          <w:rFonts w:hint="eastAsia" w:ascii="宋体" w:hAnsi="宋体" w:eastAsia="宋体" w:cs="宋体"/>
          <w:sz w:val="21"/>
          <w:szCs w:val="21"/>
        </w:rPr>
        <w:t>项目网络架构基于</w:t>
      </w:r>
      <w:r>
        <w:rPr>
          <w:rFonts w:hint="eastAsia" w:ascii="宋体" w:hAnsi="宋体" w:eastAsia="宋体" w:cs="宋体"/>
          <w:sz w:val="21"/>
          <w:szCs w:val="21"/>
          <w:lang w:val="en-US" w:eastAsia="zh-CN"/>
        </w:rPr>
        <w:t>互联网</w:t>
      </w:r>
      <w:r>
        <w:rPr>
          <w:rFonts w:hint="eastAsia" w:ascii="宋体" w:hAnsi="宋体" w:eastAsia="宋体" w:cs="宋体"/>
          <w:sz w:val="21"/>
          <w:szCs w:val="21"/>
        </w:rPr>
        <w:t>进行搭建。</w:t>
      </w:r>
    </w:p>
    <w:p>
      <w:pPr>
        <w:pStyle w:val="4"/>
        <w:numPr>
          <w:ilvl w:val="0"/>
          <w:numId w:val="3"/>
        </w:numPr>
        <w:spacing w:line="320" w:lineRule="exact"/>
        <w:ind w:left="425" w:hanging="425"/>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lang w:val="en-US" w:eastAsia="zh-CN"/>
        </w:rPr>
        <w:t>数据备份</w:t>
      </w:r>
    </w:p>
    <w:p>
      <w:pPr>
        <w:spacing w:line="320" w:lineRule="exact"/>
        <w:ind w:firstLine="420" w:firstLineChars="200"/>
        <w:rPr>
          <w:rFonts w:hint="eastAsia" w:ascii="宋体" w:hAnsi="宋体" w:eastAsia="宋体" w:cs="宋体"/>
          <w:sz w:val="21"/>
          <w:szCs w:val="21"/>
          <w:lang w:val="en-US"/>
        </w:rPr>
      </w:pPr>
      <w:r>
        <w:rPr>
          <w:rFonts w:hint="eastAsia" w:ascii="宋体" w:hAnsi="宋体" w:eastAsia="宋体" w:cs="宋体"/>
          <w:sz w:val="21"/>
          <w:szCs w:val="21"/>
          <w:highlight w:val="none"/>
          <w:lang w:val="en-US" w:eastAsia="zh-CN"/>
        </w:rPr>
        <w:t>项目数据将在建设部门指定的数据存储中心进行异地备份，将系统运行产生的所有数据进行安全备份，增加数据资源安全性。</w:t>
      </w:r>
    </w:p>
    <w:bookmarkEnd w:id="3"/>
    <w:p>
      <w:pPr>
        <w:numPr>
          <w:ilvl w:val="0"/>
          <w:numId w:val="2"/>
        </w:numPr>
        <w:spacing w:line="360" w:lineRule="auto"/>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项目进度 </w:t>
      </w:r>
    </w:p>
    <w:p>
      <w:pPr>
        <w:pStyle w:val="7"/>
        <w:shd w:val="clear" w:color="auto" w:fill="FFFFFF"/>
        <w:spacing w:line="360" w:lineRule="auto"/>
        <w:ind w:firstLine="420" w:firstLineChars="200"/>
        <w:rPr>
          <w:rFonts w:hint="eastAsia" w:ascii="宋体" w:hAnsi="宋体" w:cs="Arial"/>
          <w:kern w:val="2"/>
          <w:highlight w:val="none"/>
        </w:rPr>
      </w:pPr>
      <w:r>
        <w:rPr>
          <w:rFonts w:hint="eastAsia" w:ascii="宋体" w:hAnsi="宋体" w:cs="Arial"/>
          <w:kern w:val="2"/>
          <w:highlight w:val="none"/>
          <w:lang w:val="en-US" w:eastAsia="zh-CN"/>
        </w:rPr>
        <w:t>2022年5月31日前</w:t>
      </w:r>
      <w:r>
        <w:rPr>
          <w:rFonts w:hint="eastAsia" w:ascii="宋体" w:hAnsi="宋体" w:cs="Arial"/>
          <w:kern w:val="2"/>
          <w:highlight w:val="none"/>
        </w:rPr>
        <w:t>，完成系统</w:t>
      </w:r>
      <w:r>
        <w:rPr>
          <w:rFonts w:hint="eastAsia" w:ascii="宋体" w:hAnsi="宋体" w:cs="Arial"/>
          <w:kern w:val="2"/>
          <w:highlight w:val="none"/>
          <w:lang w:eastAsia="zh-CN"/>
        </w:rPr>
        <w:t>各模块建设</w:t>
      </w:r>
      <w:r>
        <w:rPr>
          <w:rFonts w:hint="eastAsia" w:ascii="宋体" w:hAnsi="宋体" w:cs="Arial"/>
          <w:kern w:val="2"/>
          <w:highlight w:val="none"/>
        </w:rPr>
        <w:t>并上线试运行</w:t>
      </w:r>
      <w:r>
        <w:rPr>
          <w:rFonts w:hint="eastAsia" w:ascii="宋体" w:hAnsi="宋体" w:cs="Arial"/>
          <w:kern w:val="2"/>
          <w:highlight w:val="none"/>
          <w:lang w:eastAsia="zh-CN"/>
        </w:rPr>
        <w:t>通过后</w:t>
      </w:r>
      <w:r>
        <w:rPr>
          <w:rFonts w:hint="eastAsia" w:ascii="宋体" w:hAnsi="宋体" w:cs="Arial"/>
          <w:kern w:val="2"/>
          <w:highlight w:val="none"/>
        </w:rPr>
        <w:t>，</w:t>
      </w:r>
      <w:r>
        <w:rPr>
          <w:rFonts w:hint="eastAsia" w:ascii="宋体" w:hAnsi="宋体" w:cs="Arial"/>
          <w:kern w:val="2"/>
          <w:highlight w:val="none"/>
          <w:lang w:eastAsia="zh-CN"/>
        </w:rPr>
        <w:t>正式上线，交付甲方使用</w:t>
      </w:r>
      <w:r>
        <w:rPr>
          <w:rFonts w:hint="eastAsia" w:ascii="宋体" w:hAnsi="宋体" w:cs="Arial"/>
          <w:kern w:val="2"/>
          <w:highlight w:val="none"/>
        </w:rPr>
        <w:t>。</w:t>
      </w:r>
    </w:p>
    <w:p>
      <w:pPr>
        <w:numPr>
          <w:ilvl w:val="0"/>
          <w:numId w:val="2"/>
        </w:numPr>
        <w:spacing w:line="360" w:lineRule="auto"/>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付款方式</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1、完成系统各模块建设并上线试</w:t>
      </w:r>
      <w:bookmarkStart w:id="4" w:name="_GoBack"/>
      <w:bookmarkEnd w:id="4"/>
      <w:r>
        <w:rPr>
          <w:rFonts w:hint="eastAsia" w:ascii="宋体" w:hAnsi="宋体" w:cs="Arial"/>
          <w:kern w:val="2"/>
          <w:lang w:val="en-US" w:eastAsia="zh-CN"/>
        </w:rPr>
        <w:t>运行后，甲方向乙方支付合同总额40%；</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2、完成正式上线满一年后，甲方向乙方支付合同总额的50%；</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3、质保期满后，甲方向乙方支付合同尾款。</w:t>
      </w:r>
    </w:p>
    <w:p>
      <w:pPr>
        <w:pStyle w:val="7"/>
        <w:shd w:val="clear" w:color="auto" w:fill="FFFFFF"/>
        <w:spacing w:line="360" w:lineRule="auto"/>
        <w:ind w:firstLine="420" w:firstLineChars="200"/>
        <w:rPr>
          <w:rFonts w:hint="default" w:ascii="宋体" w:hAnsi="宋体" w:cs="Arial"/>
          <w:kern w:val="2"/>
          <w:lang w:val="en-US" w:eastAsia="zh-CN"/>
        </w:rPr>
      </w:pPr>
      <w:r>
        <w:rPr>
          <w:rFonts w:hint="eastAsia" w:ascii="宋体" w:hAnsi="宋体" w:cs="Arial"/>
          <w:kern w:val="2"/>
          <w:lang w:val="en-US" w:eastAsia="zh-CN"/>
        </w:rPr>
        <w:t>4、</w:t>
      </w:r>
      <w:r>
        <w:rPr>
          <w:rFonts w:hint="default" w:ascii="宋体" w:hAnsi="宋体" w:cs="Arial"/>
          <w:kern w:val="2"/>
          <w:lang w:val="en-US" w:eastAsia="zh-CN"/>
        </w:rPr>
        <w:t>每次</w:t>
      </w:r>
      <w:r>
        <w:rPr>
          <w:rFonts w:hint="eastAsia" w:ascii="宋体" w:hAnsi="宋体" w:cs="Arial"/>
          <w:kern w:val="2"/>
          <w:lang w:val="en-US" w:eastAsia="zh-CN"/>
        </w:rPr>
        <w:t>请款</w:t>
      </w:r>
      <w:r>
        <w:rPr>
          <w:rFonts w:hint="default" w:ascii="宋体" w:hAnsi="宋体" w:cs="Arial"/>
          <w:kern w:val="2"/>
          <w:lang w:val="en-US" w:eastAsia="zh-CN"/>
        </w:rPr>
        <w:t>时，</w:t>
      </w:r>
      <w:r>
        <w:rPr>
          <w:rFonts w:hint="eastAsia" w:ascii="宋体" w:hAnsi="宋体" w:cs="Arial"/>
          <w:kern w:val="2"/>
          <w:lang w:val="en-US" w:eastAsia="zh-CN"/>
        </w:rPr>
        <w:t>乙方</w:t>
      </w:r>
      <w:r>
        <w:rPr>
          <w:rFonts w:hint="default" w:ascii="宋体" w:hAnsi="宋体" w:cs="Arial"/>
          <w:kern w:val="2"/>
          <w:lang w:val="en-US" w:eastAsia="zh-CN"/>
        </w:rPr>
        <w:t>应开具与当次支付金额一致的合法、有效的发票。</w:t>
      </w:r>
    </w:p>
    <w:p>
      <w:pPr>
        <w:pStyle w:val="7"/>
        <w:shd w:val="clear" w:color="auto" w:fill="FFFFFF"/>
        <w:spacing w:line="360" w:lineRule="auto"/>
        <w:ind w:firstLine="420" w:firstLineChars="200"/>
        <w:rPr>
          <w:rFonts w:hint="default" w:ascii="宋体" w:hAnsi="宋体" w:cs="Arial"/>
          <w:kern w:val="2"/>
          <w:lang w:val="en-US" w:eastAsia="zh-CN"/>
        </w:rPr>
      </w:pPr>
      <w:r>
        <w:rPr>
          <w:rFonts w:hint="eastAsia" w:ascii="宋体" w:hAnsi="宋体" w:cs="Arial"/>
          <w:kern w:val="2"/>
          <w:lang w:val="en-US" w:eastAsia="zh-CN"/>
        </w:rPr>
        <w:t>5、甲方</w:t>
      </w:r>
      <w:r>
        <w:rPr>
          <w:rFonts w:hint="default" w:ascii="宋体" w:hAnsi="宋体" w:cs="Arial"/>
          <w:kern w:val="2"/>
          <w:lang w:val="en-US" w:eastAsia="zh-CN"/>
        </w:rPr>
        <w:t>在收到</w:t>
      </w:r>
      <w:r>
        <w:rPr>
          <w:rFonts w:hint="eastAsia" w:ascii="宋体" w:hAnsi="宋体" w:cs="Arial"/>
          <w:kern w:val="2"/>
          <w:lang w:val="en-US" w:eastAsia="zh-CN"/>
        </w:rPr>
        <w:t>乙方</w:t>
      </w:r>
      <w:r>
        <w:rPr>
          <w:rFonts w:hint="default" w:ascii="宋体" w:hAnsi="宋体" w:cs="Arial"/>
          <w:kern w:val="2"/>
          <w:lang w:val="en-US" w:eastAsia="zh-CN"/>
        </w:rPr>
        <w:t>递交合格的请款材料后，于</w:t>
      </w:r>
      <w:r>
        <w:rPr>
          <w:rFonts w:hint="eastAsia" w:ascii="宋体" w:hAnsi="宋体" w:cs="Arial"/>
          <w:kern w:val="2"/>
          <w:lang w:val="en-US" w:eastAsia="zh-CN"/>
        </w:rPr>
        <w:t>5</w:t>
      </w:r>
      <w:r>
        <w:rPr>
          <w:rFonts w:hint="default" w:ascii="宋体" w:hAnsi="宋体" w:cs="Arial"/>
          <w:kern w:val="2"/>
          <w:lang w:val="en-US" w:eastAsia="zh-CN"/>
        </w:rPr>
        <w:t>个工作日内完成付款程序。</w:t>
      </w:r>
    </w:p>
    <w:p>
      <w:pPr>
        <w:numPr>
          <w:ilvl w:val="0"/>
          <w:numId w:val="2"/>
        </w:numPr>
        <w:spacing w:line="360" w:lineRule="auto"/>
        <w:jc w:val="both"/>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免费维护期（质保期）服务要求</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1、免费维护期为正式上线后2年。</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13.2乙方须提供常设7天×8小时热线服务和长期的技术支持。对甲方的服务通知，乙方须在接报后2小时内响应，3小时内到达现场（如电话响应无法解决），12小时内处理完毕。</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3、免费维护期内乙方为甲方免费升级和改造软件。</w:t>
      </w:r>
    </w:p>
    <w:p>
      <w:pPr>
        <w:pStyle w:val="7"/>
        <w:shd w:val="clear" w:color="auto" w:fill="FFFFFF"/>
        <w:spacing w:line="360" w:lineRule="auto"/>
        <w:ind w:firstLine="420" w:firstLineChars="200"/>
        <w:rPr>
          <w:rFonts w:hint="eastAsia" w:ascii="宋体" w:hAnsi="宋体" w:cs="Arial"/>
          <w:kern w:val="2"/>
          <w:lang w:val="en-US" w:eastAsia="zh-CN"/>
        </w:rPr>
      </w:pPr>
      <w:r>
        <w:rPr>
          <w:rFonts w:hint="eastAsia" w:ascii="宋体" w:hAnsi="宋体" w:cs="Arial"/>
          <w:kern w:val="2"/>
          <w:lang w:val="en-US" w:eastAsia="zh-CN"/>
        </w:rPr>
        <w:t>4、免费维护期满后，乙方须提供终身的系统维护及升级服务。</w:t>
      </w:r>
    </w:p>
    <w:p>
      <w:pPr>
        <w:numPr>
          <w:ilvl w:val="0"/>
          <w:numId w:val="2"/>
        </w:numPr>
        <w:spacing w:line="360" w:lineRule="auto"/>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其他要求</w:t>
      </w:r>
    </w:p>
    <w:p>
      <w:pPr>
        <w:spacing w:line="360" w:lineRule="auto"/>
        <w:ind w:firstLine="420" w:firstLineChars="200"/>
        <w:rPr>
          <w:rFonts w:cs="Arial" w:asciiTheme="minorEastAsia" w:hAnsiTheme="minorEastAsia" w:eastAsiaTheme="minorEastAsia"/>
          <w:sz w:val="21"/>
          <w:szCs w:val="21"/>
        </w:rPr>
      </w:pPr>
      <w:r>
        <w:rPr>
          <w:rFonts w:hint="eastAsia" w:cs="Arial" w:asciiTheme="minorEastAsia" w:hAnsiTheme="minorEastAsia"/>
          <w:sz w:val="21"/>
          <w:szCs w:val="21"/>
          <w:lang w:val="en-US" w:eastAsia="zh-CN"/>
        </w:rPr>
        <w:t>1、</w:t>
      </w:r>
      <w:r>
        <w:rPr>
          <w:rFonts w:hint="eastAsia" w:cs="Arial" w:asciiTheme="minorEastAsia" w:hAnsiTheme="minorEastAsia" w:eastAsiaTheme="minorEastAsia"/>
          <w:sz w:val="21"/>
          <w:szCs w:val="21"/>
        </w:rPr>
        <w:t>项目实施过程中，中标人必须采用正版系统软件和开发工具软件，如因版权问题导致实施计划延误，或受到来自第三方关于侵犯专利权、“应用软件”设计权及其他知识产权的法律指控时，中标人须承担由此而引起的一切责任和费用。</w:t>
      </w:r>
    </w:p>
    <w:p>
      <w:pPr>
        <w:spacing w:line="360" w:lineRule="auto"/>
        <w:ind w:firstLine="420" w:firstLineChars="200"/>
        <w:rPr>
          <w:rFonts w:cs="Arial" w:asciiTheme="minorEastAsia" w:hAnsiTheme="minorEastAsia" w:eastAsiaTheme="minorEastAsia"/>
          <w:sz w:val="21"/>
          <w:szCs w:val="21"/>
        </w:rPr>
      </w:pPr>
      <w:r>
        <w:rPr>
          <w:rFonts w:hint="eastAsia" w:cs="Arial" w:asciiTheme="minorEastAsia" w:hAnsiTheme="minorEastAsia"/>
          <w:sz w:val="21"/>
          <w:szCs w:val="21"/>
          <w:lang w:val="en-US" w:eastAsia="zh-CN"/>
        </w:rPr>
        <w:t>2、</w:t>
      </w:r>
      <w:r>
        <w:rPr>
          <w:rFonts w:hint="eastAsia" w:cs="Arial" w:asciiTheme="minorEastAsia" w:hAnsiTheme="minorEastAsia" w:eastAsiaTheme="minorEastAsia"/>
          <w:sz w:val="21"/>
          <w:szCs w:val="21"/>
        </w:rPr>
        <w:t>中标人在项目实施过程中，对招标人所提供的所有相关资料、数据，未经招标人书面同意不得向任何第三人泄露，且保密责任不因合同的终止或解除而失效。</w:t>
      </w:r>
    </w:p>
    <w:p>
      <w:pPr>
        <w:numPr>
          <w:ilvl w:val="0"/>
          <w:numId w:val="0"/>
        </w:numPr>
        <w:spacing w:line="360" w:lineRule="auto"/>
        <w:jc w:val="both"/>
        <w:rPr>
          <w:rFonts w:hint="eastAsia" w:ascii="宋体" w:hAnsi="宋体" w:eastAsia="宋体" w:cs="宋体"/>
          <w:sz w:val="21"/>
          <w:szCs w:val="21"/>
          <w:lang w:val="en-US" w:eastAsia="zh-CN"/>
        </w:rPr>
      </w:pPr>
    </w:p>
    <w:p>
      <w:pPr>
        <w:numPr>
          <w:ilvl w:val="0"/>
          <w:numId w:val="0"/>
        </w:numPr>
        <w:spacing w:line="360" w:lineRule="auto"/>
        <w:jc w:val="both"/>
        <w:rPr>
          <w:rFonts w:hint="eastAsia" w:ascii="宋体" w:hAnsi="宋体" w:eastAsia="宋体" w:cs="宋体"/>
          <w:sz w:val="21"/>
          <w:szCs w:val="21"/>
          <w:lang w:val="en-US" w:eastAsia="zh-CN"/>
        </w:rPr>
      </w:pPr>
    </w:p>
    <w:p>
      <w:pPr>
        <w:numPr>
          <w:ilvl w:val="0"/>
          <w:numId w:val="0"/>
        </w:numPr>
        <w:spacing w:line="360" w:lineRule="auto"/>
        <w:jc w:val="both"/>
        <w:rPr>
          <w:rFonts w:hint="eastAsia" w:ascii="宋体" w:hAnsi="宋体" w:eastAsia="宋体" w:cs="宋体"/>
          <w:sz w:val="21"/>
          <w:szCs w:val="21"/>
          <w:lang w:val="en-US" w:eastAsia="zh-CN"/>
        </w:rPr>
      </w:pPr>
    </w:p>
    <w:p>
      <w:pPr>
        <w:numPr>
          <w:ilvl w:val="0"/>
          <w:numId w:val="0"/>
        </w:numPr>
        <w:spacing w:line="360" w:lineRule="auto"/>
        <w:jc w:val="both"/>
        <w:rPr>
          <w:rFonts w:hint="eastAsia" w:ascii="宋体" w:hAnsi="宋体" w:eastAsia="宋体" w:cs="宋体"/>
          <w:sz w:val="21"/>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A81DA"/>
    <w:multiLevelType w:val="singleLevel"/>
    <w:tmpl w:val="9D6A81DA"/>
    <w:lvl w:ilvl="0" w:tentative="0">
      <w:start w:val="1"/>
      <w:numFmt w:val="decimalEnclosedCircleChinese"/>
      <w:suff w:val="nothing"/>
      <w:lvlText w:val="%1　"/>
      <w:lvlJc w:val="left"/>
      <w:pPr>
        <w:ind w:left="0" w:firstLine="400"/>
      </w:pPr>
      <w:rPr>
        <w:rFonts w:hint="eastAsia"/>
      </w:rPr>
    </w:lvl>
  </w:abstractNum>
  <w:abstractNum w:abstractNumId="1">
    <w:nsid w:val="AA6B3A57"/>
    <w:multiLevelType w:val="singleLevel"/>
    <w:tmpl w:val="AA6B3A57"/>
    <w:lvl w:ilvl="0" w:tentative="0">
      <w:start w:val="1"/>
      <w:numFmt w:val="decimalEnclosedCircleChinese"/>
      <w:suff w:val="nothing"/>
      <w:lvlText w:val="%1　"/>
      <w:lvlJc w:val="left"/>
      <w:pPr>
        <w:ind w:left="0" w:firstLine="400"/>
      </w:pPr>
      <w:rPr>
        <w:rFonts w:hint="eastAsia"/>
      </w:rPr>
    </w:lvl>
  </w:abstractNum>
  <w:abstractNum w:abstractNumId="2">
    <w:nsid w:val="FE37C2FF"/>
    <w:multiLevelType w:val="singleLevel"/>
    <w:tmpl w:val="FE37C2FF"/>
    <w:lvl w:ilvl="0" w:tentative="0">
      <w:start w:val="1"/>
      <w:numFmt w:val="decimal"/>
      <w:lvlText w:val="%1."/>
      <w:lvlJc w:val="left"/>
      <w:pPr>
        <w:ind w:left="425" w:hanging="425"/>
      </w:pPr>
      <w:rPr>
        <w:rFonts w:hint="default"/>
      </w:rPr>
    </w:lvl>
  </w:abstractNum>
  <w:abstractNum w:abstractNumId="3">
    <w:nsid w:val="0F24C5F2"/>
    <w:multiLevelType w:val="singleLevel"/>
    <w:tmpl w:val="0F24C5F2"/>
    <w:lvl w:ilvl="0" w:tentative="0">
      <w:start w:val="1"/>
      <w:numFmt w:val="decimal"/>
      <w:lvlText w:val="(%1)"/>
      <w:lvlJc w:val="left"/>
      <w:pPr>
        <w:ind w:left="425" w:hanging="425"/>
      </w:pPr>
      <w:rPr>
        <w:rFonts w:hint="default"/>
      </w:rPr>
    </w:lvl>
  </w:abstractNum>
  <w:abstractNum w:abstractNumId="4">
    <w:nsid w:val="21AF5BE7"/>
    <w:multiLevelType w:val="multilevel"/>
    <w:tmpl w:val="21AF5BE7"/>
    <w:lvl w:ilvl="0" w:tentative="0">
      <w:start w:val="1"/>
      <w:numFmt w:val="chineseCountingThousand"/>
      <w:lvlText w:val="第%1章"/>
      <w:lvlJc w:val="left"/>
      <w:pPr>
        <w:tabs>
          <w:tab w:val="left" w:pos="0"/>
        </w:tabs>
        <w:ind w:left="0" w:firstLine="0"/>
      </w:pPr>
      <w:rPr>
        <w:rFonts w:hint="eastAsia" w:ascii="黑体" w:hAnsi="黑体" w:eastAsia="黑体" w:cs="Times New Roman"/>
        <w:b w:val="0"/>
        <w:i w:val="0"/>
        <w:iCs w:val="0"/>
        <w:caps w:val="0"/>
        <w:strike w:val="0"/>
        <w:dstrike w:val="0"/>
        <w:vanish w:val="0"/>
        <w:spacing w:val="0"/>
        <w:position w:val="0"/>
        <w:sz w:val="32"/>
        <w:u w:val="none"/>
        <w:vertAlign w:val="baseline"/>
      </w:rPr>
    </w:lvl>
    <w:lvl w:ilvl="1" w:tentative="0">
      <w:start w:val="1"/>
      <w:numFmt w:val="decimal"/>
      <w:pStyle w:val="3"/>
      <w:isLgl/>
      <w:lvlText w:val="%1.%2"/>
      <w:lvlJc w:val="left"/>
      <w:pPr>
        <w:tabs>
          <w:tab w:val="left" w:pos="0"/>
        </w:tabs>
        <w:ind w:left="0" w:firstLine="0"/>
      </w:pPr>
      <w:rPr>
        <w:rFonts w:hint="eastAsia" w:ascii="黑体" w:eastAsia="黑体" w:cs="Times New Roman"/>
        <w:b w:val="0"/>
        <w:i w:val="0"/>
        <w:iCs w:val="0"/>
        <w:caps w:val="0"/>
        <w:strike w:val="0"/>
        <w:dstrike w:val="0"/>
        <w:vanish w:val="0"/>
        <w:spacing w:val="0"/>
        <w:position w:val="0"/>
        <w:sz w:val="24"/>
        <w:u w:val="none"/>
        <w:vertAlign w:val="baseline"/>
      </w:rPr>
    </w:lvl>
    <w:lvl w:ilvl="2" w:tentative="0">
      <w:start w:val="1"/>
      <w:numFmt w:val="decimal"/>
      <w:pStyle w:val="4"/>
      <w:isLgl/>
      <w:lvlText w:val="%1.%2.%3"/>
      <w:lvlJc w:val="left"/>
      <w:pPr>
        <w:tabs>
          <w:tab w:val="left" w:pos="0"/>
        </w:tabs>
        <w:ind w:left="0" w:firstLine="0"/>
      </w:pPr>
      <w:rPr>
        <w:rFonts w:hint="eastAsia" w:ascii="黑体" w:eastAsia="黑体" w:cs="Times New Roman"/>
        <w:b w:val="0"/>
        <w:i w:val="0"/>
        <w:iCs w:val="0"/>
        <w:caps w:val="0"/>
        <w:strike w:val="0"/>
        <w:dstrike w:val="0"/>
        <w:vanish w:val="0"/>
        <w:spacing w:val="0"/>
        <w:position w:val="0"/>
        <w:sz w:val="24"/>
        <w:u w:val="none"/>
        <w:vertAlign w:val="baseline"/>
      </w:rPr>
    </w:lvl>
    <w:lvl w:ilvl="3" w:tentative="0">
      <w:start w:val="1"/>
      <w:numFmt w:val="decimal"/>
      <w:pStyle w:val="5"/>
      <w:isLgl/>
      <w:lvlText w:val="%1.%2.%3.%4"/>
      <w:lvlJc w:val="left"/>
      <w:pPr>
        <w:tabs>
          <w:tab w:val="left" w:pos="1984"/>
        </w:tabs>
        <w:ind w:left="0" w:firstLine="0"/>
      </w:pPr>
      <w:rPr>
        <w:rFonts w:hint="eastAsia" w:ascii="黑体" w:eastAsia="黑体" w:cs="Times New Roman"/>
        <w:b w:val="0"/>
        <w:i w:val="0"/>
        <w:iCs w:val="0"/>
        <w:caps w:val="0"/>
        <w:strike w:val="0"/>
        <w:dstrike w:val="0"/>
        <w:vanish w:val="0"/>
        <w:spacing w:val="0"/>
        <w:position w:val="0"/>
        <w:sz w:val="24"/>
        <w:u w:val="none"/>
        <w:vertAlign w:val="baseline"/>
      </w:rPr>
    </w:lvl>
    <w:lvl w:ilvl="4" w:tentative="0">
      <w:start w:val="1"/>
      <w:numFmt w:val="decimal"/>
      <w:pStyle w:val="6"/>
      <w:isLgl/>
      <w:lvlText w:val="%1.%2.%3.%4.%5"/>
      <w:lvlJc w:val="left"/>
      <w:pPr>
        <w:tabs>
          <w:tab w:val="left" w:pos="0"/>
        </w:tabs>
        <w:ind w:left="0" w:firstLine="0"/>
      </w:pPr>
      <w:rPr>
        <w:rFonts w:hint="eastAsia" w:ascii="黑体" w:eastAsia="黑体" w:cs="Times New Roman"/>
        <w:b w:val="0"/>
        <w:i w:val="0"/>
        <w:iCs w:val="0"/>
        <w:caps w:val="0"/>
        <w:strike w:val="0"/>
        <w:dstrike w:val="0"/>
        <w:vanish w:val="0"/>
        <w:spacing w:val="0"/>
        <w:position w:val="0"/>
        <w:sz w:val="24"/>
        <w:u w:val="none"/>
        <w:vertAlign w:val="baseline"/>
      </w:rPr>
    </w:lvl>
    <w:lvl w:ilvl="5" w:tentative="0">
      <w:start w:val="1"/>
      <w:numFmt w:val="decimal"/>
      <w:isLgl/>
      <w:lvlText w:val="%1.%2.%3.%4.%5.%6"/>
      <w:lvlJc w:val="left"/>
      <w:pPr>
        <w:tabs>
          <w:tab w:val="left" w:pos="0"/>
        </w:tabs>
        <w:ind w:left="0" w:firstLine="0"/>
      </w:pPr>
      <w:rPr>
        <w:rFonts w:hint="eastAsia" w:ascii="黑体" w:hAnsi="黑体" w:eastAsia="黑体"/>
        <w:b w:val="0"/>
        <w:i w:val="0"/>
        <w:caps w:val="0"/>
        <w:strike w:val="0"/>
        <w:dstrike w:val="0"/>
        <w:vanish w:val="0"/>
        <w:sz w:val="24"/>
        <w:vertAlign w:val="baseline"/>
      </w:rPr>
    </w:lvl>
    <w:lvl w:ilvl="6" w:tentative="0">
      <w:start w:val="1"/>
      <w:numFmt w:val="decimal"/>
      <w:isLgl/>
      <w:lvlText w:val="%1.%2.%3.%4.%5.%6.%7"/>
      <w:lvlJc w:val="left"/>
      <w:pPr>
        <w:tabs>
          <w:tab w:val="left" w:pos="0"/>
        </w:tabs>
        <w:ind w:left="0" w:firstLine="0"/>
      </w:pPr>
      <w:rPr>
        <w:rFonts w:hint="default" w:ascii="Arial" w:hAnsi="Arial"/>
        <w:b/>
        <w:i w:val="0"/>
        <w:sz w:val="24"/>
      </w:rPr>
    </w:lvl>
    <w:lvl w:ilvl="7" w:tentative="0">
      <w:start w:val="1"/>
      <w:numFmt w:val="decimal"/>
      <w:isLgl/>
      <w:lvlText w:val="%1.%2.%3.%4.%5.%6.%7.%8"/>
      <w:lvlJc w:val="left"/>
      <w:pPr>
        <w:tabs>
          <w:tab w:val="left" w:pos="0"/>
        </w:tabs>
        <w:ind w:left="0" w:firstLine="0"/>
      </w:pPr>
      <w:rPr>
        <w:rFonts w:hint="default" w:ascii="Arial" w:hAnsi="Arial"/>
        <w:b/>
        <w:i w:val="0"/>
        <w:sz w:val="24"/>
        <w:szCs w:val="24"/>
      </w:rPr>
    </w:lvl>
    <w:lvl w:ilvl="8" w:tentative="0">
      <w:start w:val="1"/>
      <w:numFmt w:val="decimal"/>
      <w:isLgl/>
      <w:lvlText w:val="%1.%2.%3.%4.%5.%6.%7.%8.%9"/>
      <w:lvlJc w:val="left"/>
      <w:pPr>
        <w:tabs>
          <w:tab w:val="left" w:pos="0"/>
        </w:tabs>
        <w:ind w:left="0" w:firstLine="0"/>
      </w:pPr>
      <w:rPr>
        <w:rFonts w:hint="default" w:ascii="Arial" w:hAnsi="Arial"/>
        <w:b/>
        <w:i w:val="0"/>
        <w:sz w:val="24"/>
        <w:szCs w:val="24"/>
      </w:rPr>
    </w:lvl>
  </w:abstractNum>
  <w:abstractNum w:abstractNumId="5">
    <w:nsid w:val="44E10A26"/>
    <w:multiLevelType w:val="singleLevel"/>
    <w:tmpl w:val="44E10A26"/>
    <w:lvl w:ilvl="0" w:tentative="0">
      <w:start w:val="1"/>
      <w:numFmt w:val="decimalEnclosedCircleChinese"/>
      <w:suff w:val="nothing"/>
      <w:lvlText w:val="%1　"/>
      <w:lvlJc w:val="left"/>
      <w:pPr>
        <w:ind w:left="0" w:firstLine="400"/>
      </w:pPr>
      <w:rPr>
        <w:rFonts w:hint="eastAsia"/>
      </w:rPr>
    </w:lvl>
  </w:abstractNum>
  <w:abstractNum w:abstractNumId="6">
    <w:nsid w:val="5E94784F"/>
    <w:multiLevelType w:val="singleLevel"/>
    <w:tmpl w:val="5E94784F"/>
    <w:lvl w:ilvl="0" w:tentative="0">
      <w:start w:val="1"/>
      <w:numFmt w:val="decimal"/>
      <w:lvlText w:val="(%1)"/>
      <w:lvlJc w:val="left"/>
      <w:pPr>
        <w:ind w:left="425" w:hanging="425"/>
      </w:pPr>
      <w:rPr>
        <w:rFonts w:hint="default"/>
      </w:rPr>
    </w:lvl>
  </w:abstractNum>
  <w:abstractNum w:abstractNumId="7">
    <w:nsid w:val="71F895AE"/>
    <w:multiLevelType w:val="singleLevel"/>
    <w:tmpl w:val="71F895AE"/>
    <w:lvl w:ilvl="0" w:tentative="0">
      <w:start w:val="1"/>
      <w:numFmt w:val="decimalEnclosedCircleChinese"/>
      <w:suff w:val="nothing"/>
      <w:lvlText w:val="%1　"/>
      <w:lvlJc w:val="left"/>
      <w:pPr>
        <w:ind w:left="0" w:firstLine="400"/>
      </w:pPr>
      <w:rPr>
        <w:rFonts w:hint="eastAsia"/>
      </w:rPr>
    </w:lvl>
  </w:abstractNum>
  <w:abstractNum w:abstractNumId="8">
    <w:nsid w:val="786049DA"/>
    <w:multiLevelType w:val="singleLevel"/>
    <w:tmpl w:val="786049DA"/>
    <w:lvl w:ilvl="0" w:tentative="0">
      <w:start w:val="1"/>
      <w:numFmt w:val="chineseCounting"/>
      <w:suff w:val="nothing"/>
      <w:lvlText w:val="%1、"/>
      <w:lvlJc w:val="left"/>
      <w:rPr>
        <w:rFonts w:hint="eastAsia"/>
      </w:rPr>
    </w:lvl>
  </w:abstractNum>
  <w:abstractNum w:abstractNumId="9">
    <w:nsid w:val="7A93F485"/>
    <w:multiLevelType w:val="singleLevel"/>
    <w:tmpl w:val="7A93F485"/>
    <w:lvl w:ilvl="0" w:tentative="0">
      <w:start w:val="1"/>
      <w:numFmt w:val="decimalEnclosedCircleChinese"/>
      <w:suff w:val="nothing"/>
      <w:lvlText w:val="%1　"/>
      <w:lvlJc w:val="left"/>
      <w:pPr>
        <w:ind w:left="0" w:firstLine="400"/>
      </w:pPr>
      <w:rPr>
        <w:rFonts w:hint="eastAsia"/>
      </w:rPr>
    </w:lvl>
  </w:abstractNum>
  <w:abstractNum w:abstractNumId="10">
    <w:nsid w:val="7B092DB9"/>
    <w:multiLevelType w:val="singleLevel"/>
    <w:tmpl w:val="7B092DB9"/>
    <w:lvl w:ilvl="0" w:tentative="0">
      <w:start w:val="1"/>
      <w:numFmt w:val="decimal"/>
      <w:lvlText w:val="(%1)"/>
      <w:lvlJc w:val="left"/>
      <w:pPr>
        <w:ind w:left="425" w:hanging="425"/>
      </w:pPr>
      <w:rPr>
        <w:rFonts w:hint="default"/>
      </w:rPr>
    </w:lvl>
  </w:abstractNum>
  <w:num w:numId="1">
    <w:abstractNumId w:val="4"/>
  </w:num>
  <w:num w:numId="2">
    <w:abstractNumId w:val="8"/>
  </w:num>
  <w:num w:numId="3">
    <w:abstractNumId w:val="2"/>
  </w:num>
  <w:num w:numId="4">
    <w:abstractNumId w:val="3"/>
  </w:num>
  <w:num w:numId="5">
    <w:abstractNumId w:val="7"/>
  </w:num>
  <w:num w:numId="6">
    <w:abstractNumId w:val="1"/>
  </w:num>
  <w:num w:numId="7">
    <w:abstractNumId w:val="5"/>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F46F5"/>
    <w:rsid w:val="2EC040B0"/>
    <w:rsid w:val="3A0905F5"/>
    <w:rsid w:val="78345652"/>
    <w:rsid w:val="7BAA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ind w:firstLine="0" w:firstLineChars="0"/>
      <w:jc w:val="left"/>
      <w:outlineLvl w:val="1"/>
    </w:pPr>
    <w:rPr>
      <w:rFonts w:ascii="等线 Light" w:hAnsi="等线 Light" w:eastAsia="黑体"/>
      <w:bCs/>
      <w:sz w:val="24"/>
      <w:szCs w:val="32"/>
    </w:rPr>
  </w:style>
  <w:style w:type="paragraph" w:styleId="4">
    <w:name w:val="heading 3"/>
    <w:basedOn w:val="1"/>
    <w:next w:val="1"/>
    <w:qFormat/>
    <w:uiPriority w:val="9"/>
    <w:pPr>
      <w:keepNext/>
      <w:keepLines/>
      <w:numPr>
        <w:ilvl w:val="2"/>
        <w:numId w:val="1"/>
      </w:numPr>
      <w:ind w:firstLineChars="0"/>
      <w:jc w:val="left"/>
      <w:outlineLvl w:val="2"/>
    </w:pPr>
    <w:rPr>
      <w:rFonts w:eastAsia="黑体"/>
      <w:bCs/>
      <w:sz w:val="24"/>
      <w:szCs w:val="32"/>
    </w:rPr>
  </w:style>
  <w:style w:type="paragraph" w:styleId="5">
    <w:name w:val="heading 4"/>
    <w:basedOn w:val="1"/>
    <w:next w:val="1"/>
    <w:qFormat/>
    <w:uiPriority w:val="0"/>
    <w:pPr>
      <w:keepNext/>
      <w:keepLines/>
      <w:numPr>
        <w:ilvl w:val="3"/>
        <w:numId w:val="1"/>
      </w:numPr>
      <w:tabs>
        <w:tab w:val="clear" w:pos="1984"/>
      </w:tabs>
      <w:ind w:firstLineChars="0"/>
      <w:jc w:val="left"/>
      <w:outlineLvl w:val="3"/>
    </w:pPr>
    <w:rPr>
      <w:rFonts w:ascii="等线 Light" w:hAnsi="等线 Light" w:eastAsia="黑体"/>
      <w:bCs/>
      <w:szCs w:val="28"/>
    </w:rPr>
  </w:style>
  <w:style w:type="paragraph" w:styleId="6">
    <w:name w:val="heading 5"/>
    <w:basedOn w:val="1"/>
    <w:next w:val="1"/>
    <w:qFormat/>
    <w:uiPriority w:val="0"/>
    <w:pPr>
      <w:keepNext/>
      <w:keepLines/>
      <w:numPr>
        <w:ilvl w:val="4"/>
        <w:numId w:val="1"/>
      </w:numPr>
      <w:ind w:firstLineChars="0"/>
      <w:jc w:val="left"/>
      <w:outlineLvl w:val="4"/>
    </w:pPr>
    <w:rPr>
      <w:rFonts w:eastAsia="黑体"/>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widowControl/>
      <w:ind w:left="221"/>
      <w:jc w:val="left"/>
    </w:pPr>
    <w:rPr>
      <w:rFonts w:ascii="黑体" w:hAnsi="黑体" w:eastAsia="黑体" w:cs="黑体"/>
      <w:kern w:val="0"/>
    </w:rPr>
  </w:style>
  <w:style w:type="paragraph" w:styleId="7">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2022-03-15T03:37:00Z</dcterms:created>
  <dc:creator>admin1003</dc:creator>
  <cp:lastModifiedBy>JY</cp:lastModifiedBy>
  <dcterms:modified xsi:type="dcterms:W3CDTF">2022-03-16T08:40:33Z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949D76265B664568898699B4A04CC05D</vt:lpwstr>
  </property>
</Properties>
</file>